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Industrials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2138009H295UEFKR3145</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Industrials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Industrials Index (the “Parent Index”) to meet environmental targets and reduce carbon footprint, compared to the Parent Index as described in detail below.</w:t>
        <w:cr/>
        <w:t>
</w:t>
        <w:cr/>
        <w:t xml:space="preserve">
The Index methodology is constructed using a tilted approach: </w:t>
        <w:cr/>
        <w:t>
 -the weight of best ranked companies based on their ESG rating will be positively tilted.</w:t>
        <w:cr/>
        <w:t xml:space="preserve">
 -the weight of worst ranked companies based on their ESG rating will be negatively tilted. </w:t>
        <w:cr/>
        <w:t>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20%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20%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