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0.0 -->
  <w:body>
    <w:p w:rsidR="008B40A5" w:rsidRPr="00D03AAD" w:rsidP="008B40A5" w14:paraId="17DB985D" w14:textId="77777777">
      <w:pPr>
        <w:ind w:left="-851" w:right="-851"/>
        <w:jc w:val="center"/>
        <w:rPr>
          <w:rFonts w:cstheme="minorHAnsi"/>
          <w:b/>
          <w:bCs/>
          <w:color w:val="FF0000"/>
          <w:sz w:val="24"/>
          <w:szCs w:val="24"/>
          <w:lang w:val="en-US"/>
        </w:rPr>
      </w:pPr>
      <w:r>
        <w:rPr>
          <w:rFonts w:cstheme="minorHAnsi"/>
          <w:b/>
          <w:bCs/>
          <w:color w:val="FF0000"/>
          <w:sz w:val="24"/>
          <w:szCs w:val="24"/>
          <w:lang w:val="en-US"/>
        </w:rPr>
        <w:t xml:space="preserve">Website Product Disclosures further to art. 10(1) of the Sustainable Finance Disclosure Regulation for art. 8 sub-funds </w:t>
      </w:r>
    </w:p>
    <w:p w:rsidR="008B40A5" w:rsidRPr="00D03AAD" w:rsidP="008B40A5" w14:paraId="5E70ED2B" w14:textId="77777777">
      <w:pPr>
        <w:jc w:val="center"/>
        <w:rPr>
          <w:b/>
          <w:color w:val="FF0000"/>
          <w:sz w:val="24"/>
          <w:szCs w:val="24"/>
          <w:lang w:val="en-US"/>
        </w:rPr>
      </w:pPr>
      <w:r w:rsidRPr="000D77E7">
        <w:rPr>
          <w:b/>
          <w:color w:val="FF0000"/>
          <w:sz w:val="24"/>
          <w:szCs w:val="24"/>
          <w:lang w:val="en-US"/>
        </w:rPr>
        <w:t>SUMMARY</w:t>
      </w:r>
    </w:p>
    <w:p w:rsidR="001B13EB" w:rsidP="00C15A78" w14:paraId="7207B8A6" w14:textId="2D43B8A9">
      <w:pPr>
        <w:ind w:left="-851" w:right="-851"/>
        <w:rPr>
          <w:lang w:val="en-US"/>
        </w:rPr>
      </w:pPr>
    </w:p>
    <w:tbl>
      <w:tblPr>
        <w:tblStyle w:val="TableGrid"/>
        <w:tblW w:w="10490" w:type="dxa"/>
        <w:tblInd w:w="-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87"/>
        <w:gridCol w:w="5103"/>
      </w:tblGrid>
      <w:tr w14:paraId="3A58E765" w14:textId="77777777" w:rsidTr="003F0A0C">
        <w:tblPrEx>
          <w:tblW w:w="10490" w:type="dxa"/>
          <w:tblInd w:w="-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5387" w:type="dxa"/>
          </w:tcPr>
          <w:p w:rsidR="00B237C7" w:rsidP="00C15A78" w14:paraId="2F848123" w14:textId="77777777">
            <w:pPr>
              <w:ind w:left="-851" w:right="-851"/>
              <w:jc w:val="both"/>
              <w:rPr>
                <w:lang w:val="en-US"/>
              </w:rPr>
            </w:pPr>
            <w:r w:rsidRPr="005E1D0B">
              <w:rPr>
                <w:b/>
                <w:bCs/>
                <w:lang w:val="en-US"/>
              </w:rPr>
              <w:t xml:space="preserve">Product </w:t>
            </w:r>
            <w:r w:rsidR="00C15A78">
              <w:rPr>
                <w:b/>
                <w:bCs/>
                <w:lang w:val="en-US"/>
              </w:rPr>
              <w:t>N</w:t>
            </w:r>
            <w:r w:rsidRPr="005E1D0B">
              <w:rPr>
                <w:b/>
                <w:bCs/>
                <w:lang w:val="en-US"/>
              </w:rPr>
              <w:t>ame</w:t>
            </w:r>
            <w:r w:rsidRPr="005E1D0B">
              <w:rPr>
                <w:lang w:val="en-US"/>
              </w:rPr>
              <w:t xml:space="preserve">: </w:t>
            </w:r>
          </w:p>
          <w:p w:rsidR="005E1D0B" w:rsidRPr="005E1D0B" w:rsidP="00B237C7" w14:paraId="3A4A049C" w14:textId="66DFB736">
            <w:pPr>
              <w:ind w:left="-101" w:right="-851"/>
              <w:jc w:val="both"/>
              <w:rPr>
                <w:lang w:val="en-US"/>
              </w:rPr>
            </w:pPr>
            <w:r w:rsidRPr="005E1D0B">
              <w:rPr>
                <w:lang w:val="en-US"/>
              </w:rPr>
              <w:t>Amundi S&amp;P Global Consumer Staples ESG UCITS ETF</w:t>
            </w:r>
          </w:p>
        </w:tc>
        <w:tc>
          <w:tcPr>
            <w:tcW w:w="5103" w:type="dxa"/>
          </w:tcPr>
          <w:p w:rsidR="00B237C7" w:rsidP="003F0A0C" w14:paraId="34632F06" w14:textId="77777777">
            <w:pPr>
              <w:ind w:right="-851"/>
              <w:rPr>
                <w:lang w:val="it-IT"/>
              </w:rPr>
            </w:pPr>
            <w:r w:rsidRPr="00B237C7">
              <w:rPr>
                <w:b/>
                <w:bCs/>
                <w:lang w:val="it-IT"/>
              </w:rPr>
              <w:t>Legal entity identifier</w:t>
            </w:r>
            <w:r w:rsidRPr="00B237C7">
              <w:rPr>
                <w:lang w:val="it-IT"/>
              </w:rPr>
              <w:t xml:space="preserve">: </w:t>
            </w:r>
          </w:p>
          <w:p w:rsidR="005E1D0B" w:rsidRPr="00B237C7" w:rsidP="00B237C7" w14:paraId="449F9D0D" w14:textId="7BDEFB7F">
            <w:pPr>
              <w:ind w:left="327" w:right="-851"/>
              <w:rPr>
                <w:lang w:val="it-IT"/>
              </w:rPr>
            </w:pPr>
            <w:bookmarkStart w:id="0" w:name="_GoBack"/>
            <w:bookmarkEnd w:id="0"/>
            <w:r w:rsidRPr="00B237C7">
              <w:rPr>
                <w:lang w:val="it-IT"/>
              </w:rPr>
              <w:t>213800OSD9FSVIM73I91</w:t>
            </w:r>
          </w:p>
        </w:tc>
      </w:tr>
    </w:tbl>
    <w:p w:rsidR="00252E7E" w:rsidRPr="00B237C7" w:rsidP="00C15A78" w14:paraId="69DD299F" w14:textId="77777777">
      <w:pPr>
        <w:pStyle w:val="Heading2"/>
        <w:ind w:left="-851" w:right="-851"/>
        <w:jc w:val="both"/>
        <w:rPr>
          <w:lang w:val="it-IT"/>
        </w:rPr>
      </w:pPr>
    </w:p>
    <w:p w:rsidR="00CB6D7C" w:rsidRPr="00B237C7" w:rsidP="00C15A78" w14:paraId="6B980FDB" w14:textId="44844A26">
      <w:pPr>
        <w:ind w:left="-851" w:right="-851"/>
        <w:jc w:val="both"/>
        <w:rPr>
          <w:lang w:val="it-IT"/>
        </w:rPr>
      </w:pPr>
    </w:p>
    <w:p w:rsidR="00660D2A" w:rsidP="00660D2A" w14:paraId="221D7E94" w14:textId="32AB1DAC">
      <w:pPr>
        <w:pStyle w:val="Heading2"/>
        <w:jc w:val="both"/>
        <w:rPr>
          <w:b/>
          <w:color w:val="auto"/>
          <w:lang w:val="en-US"/>
        </w:rPr>
      </w:pPr>
      <w:r w:rsidRPr="00660D2A">
        <w:rPr>
          <w:b/>
          <w:color w:val="auto"/>
          <w:lang w:val="en-US"/>
        </w:rPr>
        <w:t>No sustainable investment objective</w:t>
      </w:r>
    </w:p>
    <w:p w:rsidR="00660D2A" w:rsidRPr="00660D2A" w:rsidP="00660D2A" w14:paraId="699E0DF9" w14:textId="77777777">
      <w:pPr>
        <w:rPr>
          <w:lang w:val="en-US"/>
        </w:rPr>
      </w:pPr>
    </w:p>
    <w:p w:rsidR="00660D2A" w:rsidP="00660D2A" w14:paraId="4263D541" w14:textId="6F8AF607">
      <w:pPr>
        <w:jc w:val="both"/>
        <w:rPr>
          <w:lang w:val="en-US"/>
        </w:rPr>
      </w:pPr>
      <w:r>
        <w:rPr>
          <w:lang w:val="en-US"/>
        </w:rPr>
        <w:t xml:space="preserve">The Sub-Fund promotes environmental and/or sociaaThe Sub-Fund seeks to promote the following environmental and social characteristics: </w:t>
        <w:cr/>
        <w:t>
1) reduction of carbon emission intensity; and</w:t>
        <w:cr/>
        <w:t>
2) reduction in the production of controversial and nuclear weapons; and</w:t>
        <w:cr/>
        <w:t>
3) reduction in environmental harm derived from oil sands, thermal coal and unconventional oil and gas business activities.</w:t>
        <w:cr/>
        <w:t>
</w:t>
        <w:cr/>
        <w:t>
The Sub-Fund promotes these environmental and social characteristics through the replication of the S&amp;P Developed Ex-Korea LargeMidCap Sustainability Enhanced Consumer Staples Index (the “Index”) that integrates an environmental, social and governance (“ESG”) rating. The Index is selected and weighted to enhance its environmental and social sustainability by applying a range of environmental and social filters to the constituents of the S&amp;P Developed Ex-Korea LargeMidCap Consumer Staples Index (the “Parent Index”) to meet environmental targets and reduce carbon footprint, compared to the Parent Index as described in detail below.</w:t>
        <w:cr/>
        <w:t>
</w:t>
        <w:cr/>
        <w:t xml:space="preserve">
The Index methodology is constructed using a tilted approach:  </w:t>
        <w:cr/>
        <w:t>
-the weight of best ranked companies based on their ESG rating will be positively tilted.</w:t>
        <w:cr/>
        <w:t xml:space="preserve">
 -the weight of worst ranked companies based on their ESG rating will be negatively tilted. </w:t>
        <w:cr/>
        <w:t xml:space="preserve">
l characteristics through the integration of an environmental, social and governance (“ESG”) rating. </w:t>
        <w:cr/>
        <w:t>
</w:t>
        <w:cr/>
        <w:t xml:space="preserve">
The Index methodology is constructed using a tilted approach: </w:t>
        <w:cr/>
        <w:t>
-the weight of best ranked companies based on their ESG rating will be positively tilted.</w:t>
        <w:cr/>
        <w:t>
-the weight of worst ranked companies based on their ESG rating will be negatively tilted.</w:t>
        <w:cr/>
        <w:t>
</w:t>
      </w:r>
    </w:p>
    <w:p w:rsidR="00660D2A" w:rsidP="00660D2A" w14:paraId="410D4BF3" w14:textId="36278836">
      <w:pPr>
        <w:jc w:val="both"/>
        <w:rPr>
          <w:lang w:val="en-US"/>
        </w:rPr>
      </w:pPr>
    </w:p>
    <w:p w:rsidR="00660D2A" w:rsidP="00660D2A" w14:paraId="25A15EC7" w14:textId="77777777">
      <w:pPr>
        <w:jc w:val="both"/>
        <w:rPr>
          <w:lang w:val="en-US"/>
        </w:rPr>
      </w:pPr>
    </w:p>
    <w:p w:rsidR="00660D2A" w:rsidP="00660D2A" w14:paraId="1AF35F3C" w14:textId="41AE1DCF">
      <w:pPr>
        <w:pStyle w:val="Heading2"/>
        <w:jc w:val="both"/>
        <w:rPr>
          <w:b/>
          <w:color w:val="auto"/>
          <w:lang w:val="en-US"/>
        </w:rPr>
      </w:pPr>
      <w:r w:rsidRPr="00660D2A">
        <w:rPr>
          <w:b/>
          <w:color w:val="auto"/>
          <w:lang w:val="en-US"/>
        </w:rPr>
        <w:t>Environmental or social characteristics of the financial product</w:t>
      </w:r>
    </w:p>
    <w:p w:rsidR="00660D2A" w:rsidRPr="00660D2A" w:rsidP="00660D2A" w14:paraId="4FBA6710" w14:textId="77777777">
      <w:pPr>
        <w:rPr>
          <w:lang w:val="en-US"/>
        </w:rPr>
      </w:pPr>
    </w:p>
    <w:p w:rsidR="005E1D0B" w:rsidP="00660D2A" w14:paraId="2AE703FB" w14:textId="3D10BAFD">
      <w:pPr>
        <w:jc w:val="both"/>
        <w:rPr>
          <w:lang w:val="en-US"/>
        </w:rPr>
      </w:pPr>
      <w:r>
        <w:rPr>
          <w:lang w:val="en-US"/>
        </w:rPr>
        <w:t>The indicators for adverse impacts have been taken into account as detailed in the first do not significant harm (DNSH) filter above:</w:t>
        <w:cr/>
        <w:t>
</w:t>
        <w:cr/>
        <w:t>
The first DNSH filter relies on monitoring of mandatory Principal Adverse Impacts indicators in Annex 1, Table 1 of the RTS where robust data is available via the combination of following indicators and specific thresholds or rules:</w:t>
        <w:cr/>
        <w:t>
</w:t>
        <w:cr/>
        <w:t xml:space="preserve">
• Have a CO2 intensity which does not belong to the last decile compared to other companies within its sector (only applies to high intensity sectors), and </w:t>
        <w:cr/>
        <w:t>
</w:t>
        <w:cr/>
        <w:t xml:space="preserve">
• Have a Board of Directors’ diversity which does not belong to the last decile compared to other companies within its sector, and </w:t>
        <w:cr/>
        <w:t>
</w:t>
        <w:cr/>
        <w:t xml:space="preserve">
• Be cleared of any controversy in relation to work conditions and human rights. </w:t>
        <w:cr/>
        <w:t>
</w:t>
        <w:cr/>
        <w:t>
• Be cleared of any controversy in relation to biodiversity and pollution</w:t>
        <w:cr/>
        <w:t>
</w:t>
        <w:cr/>
        <w:t>
Amundi already considers specific Principle Adverse Impacts within its exclusion policy as part of Amundi’s Responsible Investment Policy. These exclusions, which apply on the top of the tests detailed above, cover the following topics: exclusions on controversial weapons, Violations of UN Global Compact principles, coal and tobacco.</w:t>
        <w:cr/>
        <w:t>
</w:t>
      </w:r>
    </w:p>
    <w:p w:rsidR="00660D2A" w:rsidP="00660D2A" w14:paraId="45E23E26" w14:textId="1377012A">
      <w:pPr>
        <w:jc w:val="both"/>
        <w:rPr>
          <w:lang w:val="en-US"/>
        </w:rPr>
      </w:pPr>
    </w:p>
    <w:p w:rsidR="00660D2A" w:rsidP="00660D2A" w14:paraId="57745510" w14:textId="77777777">
      <w:pPr>
        <w:jc w:val="both"/>
        <w:rPr>
          <w:lang w:val="en-US"/>
        </w:rPr>
      </w:pPr>
    </w:p>
    <w:p w:rsidR="00660D2A" w:rsidP="00660D2A" w14:paraId="7DBA6510" w14:textId="24F0387B">
      <w:pPr>
        <w:pStyle w:val="Heading2"/>
        <w:jc w:val="both"/>
        <w:rPr>
          <w:b/>
          <w:color w:val="auto"/>
          <w:lang w:val="en-US"/>
        </w:rPr>
      </w:pPr>
      <w:r w:rsidRPr="00660D2A">
        <w:rPr>
          <w:b/>
          <w:color w:val="auto"/>
          <w:lang w:val="en-US"/>
        </w:rPr>
        <w:t>Proportion of investments</w:t>
      </w:r>
    </w:p>
    <w:p w:rsidR="00660D2A" w:rsidRPr="00660D2A" w:rsidP="00660D2A" w14:paraId="2EB38F37" w14:textId="77777777">
      <w:pPr>
        <w:rPr>
          <w:lang w:val="en-US"/>
        </w:rPr>
      </w:pPr>
    </w:p>
    <w:p w:rsidR="005E1D0B" w:rsidP="00660D2A" w14:paraId="0B509AAC" w14:textId="398A043A">
      <w:pPr>
        <w:jc w:val="both"/>
        <w:rPr>
          <w:lang w:val="en-US"/>
        </w:rPr>
      </w:pPr>
    </w:p>
    <w:p w:rsidR="00660D2A" w:rsidP="00660D2A" w14:paraId="7ED0F757" w14:textId="31ADAF61">
      <w:pPr>
        <w:jc w:val="both"/>
        <w:rPr>
          <w:lang w:val="en-US"/>
        </w:rPr>
      </w:pPr>
    </w:p>
    <w:p w:rsidR="00660D2A" w:rsidP="00660D2A" w14:paraId="6F2DEFEE" w14:textId="77777777">
      <w:pPr>
        <w:jc w:val="both"/>
        <w:rPr>
          <w:lang w:val="en-US"/>
        </w:rPr>
      </w:pPr>
    </w:p>
    <w:p w:rsidR="00660D2A" w:rsidP="00660D2A" w14:paraId="4B2FDE0F" w14:textId="505A798B">
      <w:pPr>
        <w:pStyle w:val="Heading2"/>
        <w:jc w:val="both"/>
        <w:rPr>
          <w:b/>
          <w:color w:val="auto"/>
          <w:lang w:val="en-US"/>
        </w:rPr>
      </w:pPr>
      <w:r w:rsidRPr="00660D2A">
        <w:rPr>
          <w:b/>
          <w:color w:val="auto"/>
          <w:lang w:val="en-US"/>
        </w:rPr>
        <w:t>Monitoring, methodologies, data sources and their limitations, due diligence and engagement policies</w:t>
      </w:r>
    </w:p>
    <w:p w:rsidR="00660D2A" w:rsidRPr="00660D2A" w:rsidP="00660D2A" w14:paraId="39F59B8B" w14:textId="77777777">
      <w:pPr>
        <w:rPr>
          <w:lang w:val="en-US"/>
        </w:rPr>
      </w:pPr>
    </w:p>
    <w:p w:rsidR="005E1D0B" w:rsidP="00660D2A" w14:paraId="54E9CC72" w14:textId="1E5CF95E">
      <w:pPr>
        <w:jc w:val="both"/>
        <w:rPr>
          <w:lang w:val="en-US"/>
        </w:rPr>
      </w:pPr>
      <w:r>
        <w:rPr>
          <w:lang w:val="en-US"/>
        </w:rPr>
        <w:t xml:space="preserve"> </w:t>
      </w:r>
      <w:r>
        <w:rPr>
          <w:lang w:val="en-US"/>
        </w:rPr>
        <w:t>All ESG data, either externally or internally processed, is centralised by the Responsible Investment Business line, which is responsible for controlling the quality of the inputs and processed ESG outputs. This monitoring includes an automated quality check as well as a qualitative check from ESG analysts who are specialists of their sectors. ESG scores are updated on a monthly basis within Amundi's proprietary tool Stock Rating Integrator (SRI) module.</w:t>
        <w:cr/>
        <w:t>
</w:t>
        <w:cr/>
        <w:t>
Sustainability indicators used within Amundi rely on proprietary methodologies. These indicators are continuously made available in the portfolio management system allowing the portfolio managers to assess the impact of their investment decisions.</w:t>
        <w:cr/>
        <w:t>
</w:t>
        <w:cr/>
        <w:t>
Moreover these indicators are embedded within Amundi’s control framework, with responsibilities spread between the first level of controls performed by the Investment teams themselves and the second level of controls performed by the Risk teams, who monitor compliance with environmental or social characteristics promoted by the fund on an ongoing basis.</w:t>
        <w:cr/>
        <w:t>
</w:t>
        <w:cr/>
        <w:t>
The Amundi ESG rating used to determine the ESG score is an ESG quantitative score translated into seven grades, ranging from A (the best scores universe) to G (the worst). In the Amundi ESG Rating scale, the securities belonging to the exclusion list correspond to a G. For corporate issuers, ESG performance is assessed globally and at relevant criteria level by comparison with the average performance of its industry, through the combination of the three ESG dimensions.</w:t>
        <w:cr/>
        <w:t>
</w:t>
        <w:cr/>
        <w:t>
The methodology applied by Amundi ESG rating uses 38 criteria that are either generic (common to all companies regardless of their activity) or sector specific which are weighted according to sector and considered in terms of their impact on reputation, operational efficiency and regulations in respect of an issuer. Amundi ESG ratings are likely to be expressed globally on the three E, S and G dimensions or individually on any environmental or social factor.</w:t>
        <w:cr/>
        <w:t>
</w:t>
        <w:cr/>
        <w:t xml:space="preserve">
Amundi's ESG scores are built using Amundi's ESG analysis framework and scoring methodology. We source data from the following sources for ESG scores:  Moody, ISS-Oekem, MSCI, and Sustainalytics. </w:t>
        <w:cr/>
        <w:t>
Our methodology limitations are by construction linked to use of ESG data. The ESG data landscape is currently being standardised which can impact data quality; data coverage also is a limitation. Current and future regulation will improve standardized reporting and corporate disclosures on which ESG data rely.</w:t>
        <w:cr/>
        <w:t>
</w:t>
        <w:cr/>
        <w:t>
We are aware of these limitations which we mitigate by a combination of approaches.</w:t>
        <w:cr/>
        <w:t>
</w:t>
        <w:cr/>
        <w:t xml:space="preserve">
Each month, the ESG score are recalculated according Amundi quantitative methodology. The result of this calculation is then reviewed by the ESG analysts who perform a qualitative "sampling control" on its sector based on various checks. </w:t>
        <w:cr/>
        <w:t>
</w:t>
        <w:cr/>
        <w:t>
Amundi engages investee or potential investee companies at the issuer level regardless of the type of holdings held (equity and bonds).</w:t>
      </w:r>
    </w:p>
    <w:p w:rsidR="00660D2A" w:rsidP="00660D2A" w14:paraId="6FD744C4" w14:textId="30760732">
      <w:pPr>
        <w:jc w:val="both"/>
        <w:rPr>
          <w:lang w:val="en-US"/>
        </w:rPr>
      </w:pPr>
    </w:p>
    <w:p w:rsidR="00660D2A" w:rsidRPr="005E1D0B" w:rsidP="00660D2A" w14:paraId="3AFEC389" w14:textId="77777777">
      <w:pPr>
        <w:jc w:val="both"/>
        <w:rPr>
          <w:lang w:val="en-US"/>
        </w:rPr>
      </w:pPr>
    </w:p>
    <w:sectPr>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3FCE1162"/>
    <w:multiLevelType w:val="hybridMultilevel"/>
    <w:tmpl w:val="6ACC7730"/>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7A944A4F"/>
    <w:multiLevelType w:val="hybridMultilevel"/>
    <w:tmpl w:val="22CEBE50"/>
    <w:lvl w:ilvl="0">
      <w:start w:val="1"/>
      <w:numFmt w:val="low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6D7C"/>
    <w:rsid w:val="000975C6"/>
    <w:rsid w:val="000D77E7"/>
    <w:rsid w:val="001510FB"/>
    <w:rsid w:val="001B13EB"/>
    <w:rsid w:val="002473A3"/>
    <w:rsid w:val="00252E7E"/>
    <w:rsid w:val="0033164A"/>
    <w:rsid w:val="003C68FA"/>
    <w:rsid w:val="003F0A0C"/>
    <w:rsid w:val="005324D2"/>
    <w:rsid w:val="005E1D0B"/>
    <w:rsid w:val="00660D2A"/>
    <w:rsid w:val="006C2A16"/>
    <w:rsid w:val="00774DA0"/>
    <w:rsid w:val="007C5B2B"/>
    <w:rsid w:val="008B40A5"/>
    <w:rsid w:val="009D31E9"/>
    <w:rsid w:val="00A70259"/>
    <w:rsid w:val="00AA7FDA"/>
    <w:rsid w:val="00B237C7"/>
    <w:rsid w:val="00B363AE"/>
    <w:rsid w:val="00C15A78"/>
    <w:rsid w:val="00C348D9"/>
    <w:rsid w:val="00CB6D7C"/>
    <w:rsid w:val="00D03AAD"/>
    <w:rsid w:val="00DA1CE3"/>
    <w:rsid w:val="00F6179F"/>
    <w:rsid w:val="00FC3984"/>
  </w:rsids>
  <m:mathPr>
    <m:mathFont m:val="Cambria Math"/>
  </m:mathPr>
  <w:themeFontLang w:val="fr-FR" w:eastAsia="zh-CN"/>
  <w:clrSchemeMapping w:bg1="light1" w:t1="dark1" w:bg2="light2" w:t2="dark2" w:accent1="accent1" w:accent2="accent2" w:accent3="accent3" w:accent4="accent4" w:accent5="accent5" w:accent6="accent6" w:hyperlink="hyperlink" w:followedHyperlink="followedHyperlink"/>
  <w14:docId w14:val="2CE2F6A4"/>
  <w15:chartTrackingRefBased/>
  <w15:docId w15:val="{3BA77637-9B32-4798-BF48-5FCD1D52B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1CE3"/>
  </w:style>
  <w:style w:type="paragraph" w:styleId="Heading1">
    <w:name w:val="heading 1"/>
    <w:basedOn w:val="Normal"/>
    <w:next w:val="Normal"/>
    <w:link w:val="Heading1Char"/>
    <w:uiPriority w:val="9"/>
    <w:qFormat/>
    <w:rsid w:val="00CB6D7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CB6D7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B6D7C"/>
    <w:rPr>
      <w:rFonts w:asciiTheme="majorHAnsi" w:eastAsiaTheme="majorEastAsia" w:hAnsiTheme="majorHAnsi" w:cstheme="majorBidi"/>
      <w:color w:val="2E74B5" w:themeColor="accent1" w:themeShade="BF"/>
      <w:sz w:val="26"/>
      <w:szCs w:val="26"/>
    </w:rPr>
  </w:style>
  <w:style w:type="character" w:customStyle="1" w:styleId="Heading1Char">
    <w:name w:val="Heading 1 Char"/>
    <w:basedOn w:val="DefaultParagraphFont"/>
    <w:link w:val="Heading1"/>
    <w:uiPriority w:val="9"/>
    <w:rsid w:val="00CB6D7C"/>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2473A3"/>
    <w:pPr>
      <w:ind w:left="720"/>
      <w:contextualSpacing/>
    </w:pPr>
  </w:style>
  <w:style w:type="table" w:styleId="TableGrid">
    <w:name w:val="Table Grid"/>
    <w:basedOn w:val="TableNormal"/>
    <w:uiPriority w:val="39"/>
    <w:rsid w:val="005E1D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76</Words>
  <Characters>423</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Amundi Asset Management</Company>
  <LinksUpToDate>false</LinksUpToDate>
  <CharactersWithSpaces>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Joly Pierre (AMUNDI-ITS)</dc:creator>
  <cp:lastModifiedBy>Louzoune Orel (AMUNDI)</cp:lastModifiedBy>
  <cp:revision>10</cp:revision>
  <dcterms:created xsi:type="dcterms:W3CDTF">2022-11-23T07:29:00Z</dcterms:created>
  <dcterms:modified xsi:type="dcterms:W3CDTF">2022-12-30T15:00:00Z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ac45191-74e4-40a9-a4c5-ab5c9391e33a_ActionId">
    <vt:lpwstr>6db03e14-624e-4a7a-b582-84528a8e74ee</vt:lpwstr>
  </property>
  <property fmtid="{D5CDD505-2E9C-101B-9397-08002B2CF9AE}" pid="3" name="MSIP_Label_6ac45191-74e4-40a9-a4c5-ab5c9391e33a_ContentBits">
    <vt:lpwstr>0</vt:lpwstr>
  </property>
  <property fmtid="{D5CDD505-2E9C-101B-9397-08002B2CF9AE}" pid="4" name="MSIP_Label_6ac45191-74e4-40a9-a4c5-ab5c9391e33a_Enabled">
    <vt:lpwstr>true</vt:lpwstr>
  </property>
  <property fmtid="{D5CDD505-2E9C-101B-9397-08002B2CF9AE}" pid="5" name="MSIP_Label_6ac45191-74e4-40a9-a4c5-ab5c9391e33a_Method">
    <vt:lpwstr>Standard</vt:lpwstr>
  </property>
  <property fmtid="{D5CDD505-2E9C-101B-9397-08002B2CF9AE}" pid="6" name="MSIP_Label_6ac45191-74e4-40a9-a4c5-ab5c9391e33a_Name">
    <vt:lpwstr>Internal Data</vt:lpwstr>
  </property>
  <property fmtid="{D5CDD505-2E9C-101B-9397-08002B2CF9AE}" pid="7" name="MSIP_Label_6ac45191-74e4-40a9-a4c5-ab5c9391e33a_SetDate">
    <vt:lpwstr>2022-07-08T12:53:13Z</vt:lpwstr>
  </property>
  <property fmtid="{D5CDD505-2E9C-101B-9397-08002B2CF9AE}" pid="8" name="MSIP_Label_6ac45191-74e4-40a9-a4c5-ab5c9391e33a_SiteId">
    <vt:lpwstr>a5c34232-eadc-4609-bff3-dd6fcdae3fe2</vt:lpwstr>
  </property>
</Properties>
</file>