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USA ESG LEADERS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2138008EYNCTNBLGP743</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xml:space="preserve">
1) reduction of carbon emission intensity;  </w:t>
        <w:cr/>
        <w:t xml:space="preserve">
2) reduction in environmental harm derived from water stress, fossil fuel, thermal coal, oil and gas or uranium; </w:t>
        <w:cr/>
        <w:t>
3)  reduction in the production of controversial and nuclear weapons; and</w:t>
        <w:cr/>
        <w:t>
4) reduction in social harm derived from labor management or business ethics.</w:t>
        <w:cr/>
        <w:t>
</w:t>
        <w:cr/>
        <w:t xml:space="preserve">
The Sub-Fund promotes these environmental and social characteristics through among others, replicating the MSCI USA ESG Leaders Select 5% Issuer Capped Index (the “Index”) by integrating an environmental, social and governance (“ESG”) rating. The Index is selected by applying a range of filters based on ESG ratings as well as certain environmental and social exclusions, such as companies that are involved in controversial weapons, nuclear weapons, gambling and adult entertainment. As further described below, the application of these filters excludes from the Index, companies which do not meet certain ESG standards, and the characteristics promoted by the Sub-Fund.    </w:t>
        <w:cr/>
        <w:t>
</w:t>
        <w:cr/>
        <w:t xml:space="preserve">
The Index is constructed using a “Best-in-class approach”: best ranked companies in each sector are selected to construct the Index.   </w:t>
        <w:cr/>
        <w:t>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