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500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2138007NOUJ46G9POA93</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in the production of controversial and nuclear weapons; and</w:t>
        <w:cr/>
        <w:t>
2) reduction in environmental harm derived from oil sands, thermal coal and unconventional oil and gas business activities.</w:t>
        <w:cr/>
        <w:t>
</w:t>
        <w:cr/>
        <w:t>
The Sub-Fund promotes these environmental and social characteristics through the replication of the S&amp;P 500 ESG+ Index (the “Index”) that integrates an environmental, social and governance (“ESG”) rating. The Index is selected and weighted to enhance its environmental and social sustainability by applying a range of environmental and social filters to the constituents of the S&amp;P 500 Index (the “Parent Index”) to meet environmental targets, compared to the Parent Index as described in detail below.</w:t>
        <w:cr/>
        <w:t>
</w:t>
        <w:cr/>
        <w:t xml:space="preserve">
The Index is constructed using a “Best-in-class approach”: best ranked companies in each sector are selected to construct the Index.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