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USA SRI CLIMATE NET ZERO AMBITION PAB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213800LFJG1UM7N51H53</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cr/>
        <w:t>
The Sub-Fund seeks to promote the following environmental and social characteristics:</w:t>
        <w:cr/>
        <w:t>
</w:t>
        <w:cr/>
        <w:t>
1)</w:t>
        <w:tab/>
        <w:t xml:space="preserve">reduction of carbon emission intensity; </w:t>
        <w:cr/>
        <w:t>
2)</w:t>
        <w:tab/>
        <w:t>reduction in greenhouse gas emissions;</w:t>
        <w:cr/>
        <w:t>
3)</w:t>
        <w:tab/>
        <w:t>reduction in the production of controversial and nuclear weapons; and</w:t>
        <w:cr/>
        <w:t>
4)</w:t>
        <w:tab/>
        <w:t xml:space="preserve">reduction in environmental harm derived from oil sands, thermal coal and unconventional oil and gas business activities. </w:t>
        <w:cr/>
        <w:t>
</w:t>
        <w:cr/>
        <w:t xml:space="preserve">
The Sub-Fund promotes these environmental and social  characteristics through replicating the MSCI World ESG Broad CTB Select Index (the “Index”) which meets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MSCI World Index (the “Parent Index”) to meet environmental targets and reduce carbon footprint, compared to the Parent Index as described in detail below. The Index methodology align with certain criteria such as:  </w:t>
        <w:cr/>
        <w:t>
</w:t>
        <w:cr/>
        <w:t>
-</w:t>
        <w:tab/>
        <w:t xml:space="preserve">a minimum reduction in Greenhouse Gas (GHG) intensity relative to Parent Index of 30%; and </w:t>
        <w:cr/>
        <w:t>
-</w:t>
        <w:tab/>
        <w:t xml:space="preserve">a minimum self-decarbonization rate of GHG emissions intensity in accordance with the trajectory implied by Intergovernmental Panel on Climate Change’s (IPCC) most ambitious 1.5ºC scenario, equating to at least 7% GHG intensity reduction on average per annum. </w:t>
        <w:cr/>
        <w:t>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