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ustomizations.xml" ContentType="application/vnd.ms-word.keyMapCustomization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tbl>
      <w:tblPr>
        <w:tblStyle w:val="TableGrid"/>
        <w:tblW w:w="1120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5"/>
        <w:gridCol w:w="284"/>
        <w:gridCol w:w="5012"/>
        <w:gridCol w:w="3639"/>
        <w:gridCol w:w="284"/>
      </w:tblGrid>
      <w:tr w14:paraId="2E42C273" w14:textId="77777777" w:rsidTr="00CC3F5B">
        <w:tblPrEx>
          <w:tblW w:w="1120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834"/>
        </w:trPr>
        <w:tc>
          <w:tcPr>
            <w:tcW w:w="1985" w:type="dxa"/>
          </w:tcPr>
          <w:p w:rsidR="00824AE5" w:rsidRPr="00BF790D" w:rsidP="007D1F61" w14:paraId="7CCB4B89" w14:textId="222C300E">
            <w:pPr>
              <w:rPr>
                <w:lang w:val="en-US"/>
              </w:rPr>
            </w:pPr>
          </w:p>
        </w:tc>
        <w:tc>
          <w:tcPr>
            <w:tcW w:w="9219" w:type="dxa"/>
            <w:gridSpan w:val="4"/>
            <w:vAlign w:val="center"/>
          </w:tcPr>
          <w:p w:rsidR="00824AE5" w:rsidRPr="00536F4C" w:rsidP="00430DBF" w14:paraId="6BB8DEA8" w14:textId="35828880">
            <w:pPr>
              <w:jc w:val="center"/>
              <w:rPr>
                <w:lang w:val="en-GB"/>
              </w:rPr>
            </w:pPr>
            <w:r w:rsidRPr="002A2CAA">
              <w:rPr>
                <w:rFonts w:ascii="Calibri" w:eastAsia="Calibri" w:hAnsi="Calibri" w:cs="Calibri"/>
                <w:b/>
                <w:bCs/>
                <w:lang w:val="en-GB"/>
              </w:rPr>
              <w:t>Template pre-contractual disclosure for the financial products referred to in Article 8, paragraphs 1, 2 and 2a, of Regulation (EU) 2019/2088 and Article 6, first paragraph, of Regulation (EU) 2020/852</w:t>
            </w:r>
          </w:p>
        </w:tc>
      </w:tr>
      <w:tr w14:paraId="4047DFE1" w14:textId="77777777" w:rsidTr="00BF790D">
        <w:tblPrEx>
          <w:tblW w:w="11204" w:type="dxa"/>
          <w:tblInd w:w="-714" w:type="dxa"/>
          <w:tblLayout w:type="fixed"/>
          <w:tblLook w:val="04A0"/>
        </w:tblPrEx>
        <w:trPr>
          <w:trHeight w:val="420"/>
        </w:trPr>
        <w:tc>
          <w:tcPr>
            <w:tcW w:w="1985" w:type="dxa"/>
            <w:vMerge w:val="restart"/>
            <w:shd w:val="clear" w:color="auto" w:fill="F2F2F2" w:themeFill="background1" w:themeFillShade="F2"/>
          </w:tcPr>
          <w:p w:rsidR="00BF790D" w:rsidP="00BF790D" w14:paraId="02C56099" w14:textId="46D2E1B5">
            <w:pPr>
              <w:autoSpaceDE w:val="0"/>
              <w:autoSpaceDN w:val="0"/>
              <w:adjustRightInd w:val="0"/>
              <w:jc w:val="left"/>
              <w:rPr>
                <w:rFonts w:ascii="Calibri" w:hAnsi="Calibri" w:cs="Calibri"/>
                <w:color w:val="000000"/>
                <w:lang w:val="en-US"/>
              </w:rPr>
            </w:pPr>
            <w:bookmarkStart w:id="0" w:name="swiBeginHere"/>
            <w:bookmarkEnd w:id="0"/>
            <w:r w:rsidRPr="00BF790D">
              <w:rPr>
                <w:rFonts w:ascii="Calibri" w:hAnsi="Calibri" w:cs="Calibri"/>
                <w:b/>
                <w:bCs/>
                <w:color w:val="000000"/>
                <w:lang w:val="en-US"/>
              </w:rPr>
              <w:t xml:space="preserve">Sustainable investment </w:t>
            </w:r>
            <w:r w:rsidRPr="00BF790D">
              <w:rPr>
                <w:rFonts w:ascii="Calibri" w:hAnsi="Calibri" w:cs="Calibri"/>
                <w:color w:val="000000"/>
                <w:lang w:val="en-US"/>
              </w:rPr>
              <w:t xml:space="preserve">means an investment in an economic activity that contributes to an environmental or social </w:t>
            </w:r>
            <w:r w:rsidRPr="00BF790D">
              <w:rPr>
                <w:rFonts w:ascii="Calibri" w:hAnsi="Calibri" w:cs="Calibri"/>
                <w:color w:val="000000"/>
                <w:lang w:val="en-US"/>
              </w:rPr>
              <w:t>objective,</w:t>
            </w:r>
            <w:r w:rsidRPr="00BF790D">
              <w:rPr>
                <w:rFonts w:ascii="Calibri" w:hAnsi="Calibri" w:cs="Calibri"/>
                <w:color w:val="000000"/>
                <w:lang w:val="en-US"/>
              </w:rPr>
              <w:t xml:space="preserve"> provided that the investment does not significantly harm any environmental or social objective and that the investee companies follow good governance practices. </w:t>
            </w:r>
          </w:p>
          <w:p w:rsidR="00BF790D" w:rsidRPr="00BF790D" w:rsidP="00BF790D" w14:paraId="2329C129" w14:textId="77777777">
            <w:pPr>
              <w:autoSpaceDE w:val="0"/>
              <w:autoSpaceDN w:val="0"/>
              <w:adjustRightInd w:val="0"/>
              <w:jc w:val="left"/>
              <w:rPr>
                <w:rFonts w:ascii="Calibri" w:hAnsi="Calibri" w:cs="Calibri"/>
                <w:color w:val="000000"/>
                <w:lang w:val="en-US"/>
              </w:rPr>
            </w:pPr>
          </w:p>
          <w:p w:rsidR="00BF790D" w:rsidRPr="00BF790D" w:rsidP="00BF790D" w14:paraId="522A9383" w14:textId="69178840">
            <w:pPr>
              <w:rPr>
                <w:lang w:val="en-US"/>
              </w:rPr>
            </w:pPr>
            <w:r w:rsidRPr="00BF790D">
              <w:rPr>
                <w:rFonts w:ascii="Calibri" w:hAnsi="Calibri" w:cs="Calibri"/>
                <w:color w:val="000000"/>
                <w:lang w:val="en-US"/>
              </w:rPr>
              <w:t xml:space="preserve">The </w:t>
            </w:r>
            <w:r w:rsidRPr="00BF790D">
              <w:rPr>
                <w:rFonts w:ascii="Calibri" w:hAnsi="Calibri" w:cs="Calibri"/>
                <w:b/>
                <w:bCs/>
                <w:color w:val="000000"/>
                <w:lang w:val="en-US"/>
              </w:rPr>
              <w:t xml:space="preserve">EU Taxonomy </w:t>
            </w:r>
            <w:r w:rsidRPr="00BF790D">
              <w:rPr>
                <w:rFonts w:ascii="Calibri" w:hAnsi="Calibri" w:cs="Calibri"/>
                <w:color w:val="000000"/>
                <w:lang w:val="en-US"/>
              </w:rPr>
              <w:t xml:space="preserve">is a classification system laid down in Regulation (EU) 2020/852, establishing a list of </w:t>
            </w:r>
            <w:r w:rsidRPr="00BF790D">
              <w:rPr>
                <w:rFonts w:ascii="Calibri" w:hAnsi="Calibri" w:cs="Calibri"/>
                <w:b/>
                <w:bCs/>
                <w:color w:val="000000"/>
                <w:lang w:val="en-US"/>
              </w:rPr>
              <w:t>environmentally sustainable economic activities</w:t>
            </w:r>
            <w:r w:rsidRPr="00BF790D">
              <w:rPr>
                <w:rFonts w:ascii="Calibri" w:hAnsi="Calibri" w:cs="Calibri"/>
                <w:color w:val="000000"/>
                <w:lang w:val="en-US"/>
              </w:rPr>
              <w:t>. That Regulation does not lay down a list of socially sustainable economic activities. Sustainable investments with an environmental objective might be aligned with the Taxonomy or not.</w:t>
            </w:r>
          </w:p>
        </w:tc>
        <w:tc>
          <w:tcPr>
            <w:tcW w:w="284" w:type="dxa"/>
          </w:tcPr>
          <w:p w:rsidR="00BF790D" w:rsidRPr="00536F4C" w:rsidP="007D1F61" w14:paraId="4669EB58" w14:textId="77777777">
            <w:pPr>
              <w:rPr>
                <w:lang w:val="en-GB"/>
              </w:rPr>
            </w:pPr>
          </w:p>
        </w:tc>
        <w:tc>
          <w:tcPr>
            <w:tcW w:w="5012" w:type="dxa"/>
          </w:tcPr>
          <w:p w:rsidR="00BF790D" w:rsidP="00EC1D7A" w14:paraId="117CC5FF" w14:textId="77777777">
            <w:pPr>
              <w:jc w:val="left"/>
              <w:rPr>
                <w:lang w:val="en-GB"/>
              </w:rPr>
            </w:pPr>
            <w:r w:rsidRPr="00536F4C">
              <w:rPr>
                <w:b/>
                <w:lang w:val="en-GB"/>
              </w:rPr>
              <w:t>Product name:</w:t>
            </w:r>
            <w:r w:rsidRPr="00536F4C">
              <w:rPr>
                <w:lang w:val="en-GB"/>
              </w:rPr>
              <w:t xml:space="preserve"> </w:t>
            </w:r>
          </w:p>
          <w:p w:rsidR="00BF790D" w:rsidRPr="00536F4C" w:rsidP="00EC1D7A" w14:paraId="6876783E" w14:textId="4BFCFB8E">
            <w:pPr>
              <w:jc w:val="left"/>
              <w:rPr>
                <w:lang w:val="en-GB"/>
              </w:rPr>
            </w:pPr>
            <w:r>
              <w:rPr>
                <w:bCs/>
                <w:sz w:val="18"/>
                <w:lang w:val="en-GB"/>
              </w:rPr>
              <w:t>Amundi STOXX Europe 600 ESG</w:t>
            </w:r>
          </w:p>
        </w:tc>
        <w:tc>
          <w:tcPr>
            <w:tcW w:w="3923" w:type="dxa"/>
            <w:gridSpan w:val="2"/>
          </w:tcPr>
          <w:p w:rsidR="00BF790D" w:rsidP="00EA0F49" w14:paraId="7B617E26" w14:textId="77777777">
            <w:pPr>
              <w:jc w:val="left"/>
              <w:rPr>
                <w:lang w:val="it-IT"/>
              </w:rPr>
            </w:pPr>
            <w:r w:rsidRPr="00916581">
              <w:rPr>
                <w:b/>
                <w:lang w:val="it-IT"/>
              </w:rPr>
              <w:t>Legal entity identifier:</w:t>
            </w:r>
            <w:r w:rsidRPr="00916581">
              <w:rPr>
                <w:lang w:val="it-IT"/>
              </w:rPr>
              <w:t xml:space="preserve"> </w:t>
            </w:r>
          </w:p>
          <w:p w:rsidR="00BF790D" w:rsidRPr="00916581" w:rsidP="00EA0F49" w14:paraId="23EFC43B" w14:textId="7733055B">
            <w:pPr>
              <w:jc w:val="left"/>
              <w:rPr>
                <w:lang w:val="it-IT"/>
              </w:rPr>
            </w:pPr>
            <w:r w:rsidRPr="00916581">
              <w:rPr>
                <w:bCs/>
                <w:sz w:val="18"/>
                <w:lang w:val="it-IT"/>
              </w:rPr>
              <w:t>549300JX3L7U61W4HF88</w:t>
            </w:r>
          </w:p>
        </w:tc>
      </w:tr>
      <w:tr w14:paraId="6B1BCD8B" w14:textId="77777777" w:rsidTr="00BF790D">
        <w:tblPrEx>
          <w:tblW w:w="11204" w:type="dxa"/>
          <w:tblInd w:w="-714" w:type="dxa"/>
          <w:tblLayout w:type="fixed"/>
          <w:tblLook w:val="04A0"/>
        </w:tblPrEx>
        <w:trPr>
          <w:trHeight w:val="588"/>
        </w:trPr>
        <w:tc>
          <w:tcPr>
            <w:tcW w:w="1985" w:type="dxa"/>
            <w:vMerge/>
            <w:shd w:val="clear" w:color="auto" w:fill="F2F2F2" w:themeFill="background1" w:themeFillShade="F2"/>
          </w:tcPr>
          <w:p w:rsidR="00BF790D" w:rsidRPr="00916581" w:rsidP="007D1F61" w14:paraId="2064896A" w14:textId="3CCCA094">
            <w:pPr>
              <w:rPr>
                <w:lang w:val="it-IT"/>
              </w:rPr>
            </w:pPr>
          </w:p>
        </w:tc>
        <w:tc>
          <w:tcPr>
            <w:tcW w:w="284" w:type="dxa"/>
          </w:tcPr>
          <w:p w:rsidR="00BF790D" w:rsidRPr="00916581" w:rsidP="007D1F61" w14:paraId="4BF876B5" w14:textId="77777777">
            <w:pPr>
              <w:rPr>
                <w:lang w:val="it-IT"/>
              </w:rPr>
            </w:pPr>
          </w:p>
        </w:tc>
        <w:tc>
          <w:tcPr>
            <w:tcW w:w="8935" w:type="dxa"/>
            <w:gridSpan w:val="3"/>
          </w:tcPr>
          <w:p w:rsidR="00BF790D" w:rsidRPr="00536F4C" w:rsidP="003D5C1D" w14:paraId="06369DC3" w14:textId="6F4BCD4F">
            <w:pPr>
              <w:jc w:val="center"/>
              <w:rPr>
                <w:rFonts w:ascii="Calibri" w:eastAsia="Calibri" w:hAnsi="Calibri" w:cs="Calibri"/>
                <w:b/>
                <w:bCs/>
                <w:color w:val="00B050"/>
                <w:sz w:val="44"/>
                <w:lang w:val="en-GB"/>
              </w:rPr>
            </w:pPr>
            <w:r w:rsidRPr="00536F4C">
              <w:rPr>
                <w:rFonts w:ascii="Calibri" w:eastAsia="Calibri" w:hAnsi="Calibri" w:cs="Calibri"/>
                <w:b/>
                <w:bCs/>
                <w:color w:val="00B050"/>
                <w:sz w:val="44"/>
                <w:lang w:val="en-GB"/>
              </w:rPr>
              <w:t>Environmental and/or social characteristics</w:t>
            </w:r>
          </w:p>
          <w:p w:rsidR="00BF790D" w:rsidRPr="00536F4C" w:rsidP="007D1F61" w14:paraId="06C91448" w14:textId="4ACF4312">
            <w:pPr>
              <w:rPr>
                <w:lang w:val="en-GB"/>
              </w:rPr>
            </w:pPr>
          </w:p>
        </w:tc>
      </w:tr>
      <w:tr w14:paraId="212D0E4F" w14:textId="77777777" w:rsidTr="00BF790D">
        <w:tblPrEx>
          <w:tblW w:w="11204" w:type="dxa"/>
          <w:tblInd w:w="-714" w:type="dxa"/>
          <w:tblLayout w:type="fixed"/>
          <w:tblLook w:val="04A0"/>
        </w:tblPrEx>
        <w:trPr>
          <w:trHeight w:val="7653"/>
        </w:trPr>
        <w:tc>
          <w:tcPr>
            <w:tcW w:w="1985" w:type="dxa"/>
            <w:vMerge/>
            <w:shd w:val="clear" w:color="auto" w:fill="F2F2F2" w:themeFill="background1" w:themeFillShade="F2"/>
          </w:tcPr>
          <w:p w:rsidR="00BF790D" w:rsidRPr="00536F4C" w:rsidP="007D1F61" w14:paraId="24A940F6" w14:textId="5EB4CA7F">
            <w:pPr>
              <w:rPr>
                <w:lang w:val="en-GB"/>
              </w:rPr>
            </w:pPr>
          </w:p>
        </w:tc>
        <w:tc>
          <w:tcPr>
            <w:tcW w:w="284" w:type="dxa"/>
          </w:tcPr>
          <w:p w:rsidR="00BF790D" w:rsidRPr="00536F4C" w:rsidP="007D1F61" w14:paraId="0C2DF3C3" w14:textId="77777777">
            <w:pPr>
              <w:rPr>
                <w:lang w:val="en-GB"/>
              </w:rPr>
            </w:pPr>
          </w:p>
        </w:tc>
        <w:tc>
          <w:tcPr>
            <w:tcW w:w="8935" w:type="dxa"/>
            <w:gridSpan w:val="3"/>
          </w:tcPr>
          <w:tbl>
            <w:tblPr>
              <w:tblStyle w:val="TableGrid"/>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43"/>
              <w:gridCol w:w="4443"/>
            </w:tblGrid>
            <w:tr w14:paraId="0409A325" w14:textId="77777777" w:rsidTr="00BA2C4D">
              <w:tblPrEx>
                <w:tblW w:w="8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984"/>
              </w:trPr>
              <w:tc>
                <w:tcPr>
                  <w:tcW w:w="8886" w:type="dxa"/>
                  <w:gridSpan w:val="2"/>
                  <w:shd w:val="clear" w:color="auto" w:fill="F6D1AC"/>
                </w:tcPr>
                <w:tbl>
                  <w:tblPr>
                    <w:tblW w:w="8675" w:type="dxa"/>
                    <w:tblBorders>
                      <w:top w:val="nil"/>
                      <w:left w:val="nil"/>
                      <w:bottom w:val="nil"/>
                      <w:right w:val="nil"/>
                    </w:tblBorders>
                    <w:tblLayout w:type="fixed"/>
                    <w:tblLook w:val="0000"/>
                  </w:tblPr>
                  <w:tblGrid>
                    <w:gridCol w:w="4337"/>
                    <w:gridCol w:w="4338"/>
                  </w:tblGrid>
                  <w:tr w14:paraId="3E94AC65" w14:textId="77777777" w:rsidTr="00BA2C4D">
                    <w:tblPrEx>
                      <w:tblW w:w="8675" w:type="dxa"/>
                      <w:tblBorders>
                        <w:top w:val="nil"/>
                        <w:left w:val="nil"/>
                        <w:bottom w:val="nil"/>
                        <w:right w:val="nil"/>
                      </w:tblBorders>
                      <w:tblLayout w:type="fixed"/>
                      <w:tblLook w:val="0000"/>
                    </w:tblPrEx>
                    <w:trPr>
                      <w:trHeight w:val="289"/>
                    </w:trPr>
                    <w:tc>
                      <w:tcPr>
                        <w:tcW w:w="8675" w:type="dxa"/>
                        <w:gridSpan w:val="2"/>
                      </w:tcPr>
                      <w:p w:rsidR="00BF790D" w:rsidRPr="002E394F" w:rsidP="004A40B9" w14:paraId="51E0F7F1" w14:textId="048DECDF">
                        <w:pPr>
                          <w:autoSpaceDE w:val="0"/>
                          <w:autoSpaceDN w:val="0"/>
                          <w:adjustRightInd w:val="0"/>
                          <w:spacing w:after="0" w:line="240" w:lineRule="auto"/>
                          <w:rPr>
                            <w:rFonts w:ascii="Calibri" w:hAnsi="Calibri" w:cs="Calibri"/>
                            <w:color w:val="000000"/>
                            <w:sz w:val="18"/>
                            <w:szCs w:val="18"/>
                            <w:lang w:val="en-US"/>
                          </w:rPr>
                        </w:pPr>
                        <w:r w:rsidRPr="002E394F">
                          <w:rPr>
                            <w:rFonts w:ascii="Calibri" w:hAnsi="Calibri" w:cs="Calibri"/>
                            <w:b/>
                            <w:bCs/>
                            <w:color w:val="000000"/>
                            <w:sz w:val="23"/>
                            <w:szCs w:val="23"/>
                            <w:lang w:val="en-US"/>
                          </w:rPr>
                          <w:t>Does this financial product have a sustainable investment objective?</w:t>
                        </w:r>
                        <w:r w:rsidRPr="002E394F">
                          <w:rPr>
                            <w:rFonts w:ascii="Calibri" w:hAnsi="Calibri" w:cs="Calibri"/>
                            <w:b/>
                            <w:bCs/>
                            <w:color w:val="C00000"/>
                            <w:sz w:val="23"/>
                            <w:szCs w:val="23"/>
                            <w:lang w:val="en-US"/>
                          </w:rPr>
                          <w:t xml:space="preserve"> </w:t>
                        </w:r>
                      </w:p>
                    </w:tc>
                  </w:tr>
                  <w:tr w14:paraId="6B05C754" w14:textId="77777777" w:rsidTr="00BA2C4D">
                    <w:tblPrEx>
                      <w:tblW w:w="8675" w:type="dxa"/>
                      <w:tblLayout w:type="fixed"/>
                      <w:tblLook w:val="0000"/>
                    </w:tblPrEx>
                    <w:trPr>
                      <w:trHeight w:val="251"/>
                    </w:trPr>
                    <w:tc>
                      <w:tcPr>
                        <w:tcW w:w="4337" w:type="dxa"/>
                      </w:tcPr>
                      <w:p w:rsidR="00BF790D" w:rsidRPr="002E394F" w:rsidP="00EA0F49" w14:paraId="68A68258" w14:textId="6A116E6A">
                        <w:pPr>
                          <w:autoSpaceDE w:val="0"/>
                          <w:autoSpaceDN w:val="0"/>
                          <w:adjustRightInd w:val="0"/>
                          <w:spacing w:before="100" w:after="0" w:line="240" w:lineRule="auto"/>
                          <w:rPr>
                            <w:rFonts w:ascii="Calibri" w:hAnsi="Calibri" w:cs="Calibri"/>
                            <w:color w:val="000000"/>
                            <w:sz w:val="23"/>
                            <w:szCs w:val="23"/>
                          </w:rPr>
                        </w:pPr>
                        <w:r>
                          <w:rPr>
                            <w:noProof/>
                            <w:lang w:val="fr-FR" w:eastAsia="zh-CN"/>
                          </w:rPr>
                          <w:drawing>
                            <wp:anchor distT="0" distB="0" distL="114300" distR="114300" simplePos="0" relativeHeight="251692032" behindDoc="1" locked="0" layoutInCell="1" allowOverlap="1">
                              <wp:simplePos x="0" y="0"/>
                              <wp:positionH relativeFrom="column">
                                <wp:posOffset>300355</wp:posOffset>
                              </wp:positionH>
                              <wp:positionV relativeFrom="paragraph">
                                <wp:posOffset>21590</wp:posOffset>
                              </wp:positionV>
                              <wp:extent cx="279400" cy="286385"/>
                              <wp:effectExtent l="0" t="0" r="6350" b="0"/>
                              <wp:wrapTight wrapText="bothSides">
                                <wp:wrapPolygon>
                                  <wp:start x="0" y="0"/>
                                  <wp:lineTo x="0" y="20115"/>
                                  <wp:lineTo x="20618" y="20115"/>
                                  <wp:lineTo x="20618" y="0"/>
                                  <wp:lineTo x="0" y="0"/>
                                </wp:wrapPolygon>
                              </wp:wrapTight>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79400" cy="286385"/>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zh-CN"/>
                          </w:rPr>
                          <w:drawing>
                            <wp:anchor distT="0" distB="0" distL="114300" distR="114300" simplePos="0" relativeHeight="251672576" behindDoc="0" locked="0" layoutInCell="1" allowOverlap="1">
                              <wp:simplePos x="0" y="0"/>
                              <wp:positionH relativeFrom="column">
                                <wp:posOffset>-13989</wp:posOffset>
                              </wp:positionH>
                              <wp:positionV relativeFrom="paragraph">
                                <wp:posOffset>50307</wp:posOffset>
                              </wp:positionV>
                              <wp:extent cx="306705" cy="21082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06705" cy="210820"/>
                                      </a:xfrm>
                                      <a:prstGeom prst="rect">
                                        <a:avLst/>
                                      </a:prstGeom>
                                    </pic:spPr>
                                  </pic:pic>
                                </a:graphicData>
                              </a:graphic>
                              <wp14:sizeRelH relativeFrom="margin">
                                <wp14:pctWidth>0</wp14:pctWidth>
                              </wp14:sizeRelH>
                              <wp14:sizeRelV relativeFrom="margin">
                                <wp14:pctHeight>0</wp14:pctHeight>
                              </wp14:sizeRelV>
                            </wp:anchor>
                          </w:drawing>
                        </w:r>
                        <w:r w:rsidRPr="00EA0F49">
                          <w:rPr>
                            <w:rFonts w:ascii="Calibri" w:hAnsi="Calibri" w:cs="Calibri"/>
                            <w:b/>
                            <w:bCs/>
                            <w:color w:val="000000"/>
                            <w:sz w:val="23"/>
                            <w:szCs w:val="23"/>
                            <w:lang w:val="en-US"/>
                          </w:rPr>
                          <w:t xml:space="preserve"> </w:t>
                        </w:r>
                        <w:r w:rsidRPr="002E394F">
                          <w:rPr>
                            <w:rFonts w:ascii="Calibri" w:hAnsi="Calibri" w:cs="Calibri"/>
                            <w:b/>
                            <w:bCs/>
                            <w:color w:val="000000"/>
                            <w:sz w:val="23"/>
                            <w:szCs w:val="23"/>
                          </w:rPr>
                          <w:t xml:space="preserve">Yes </w:t>
                        </w:r>
                      </w:p>
                    </w:tc>
                    <w:tc>
                      <w:tcPr>
                        <w:tcW w:w="4337" w:type="dxa"/>
                      </w:tcPr>
                      <w:p w:rsidR="00BF790D" w:rsidRPr="002E394F" w:rsidP="00EA0F49" w14:paraId="56E35A23" w14:textId="02B70496">
                        <w:pPr>
                          <w:autoSpaceDE w:val="0"/>
                          <w:autoSpaceDN w:val="0"/>
                          <w:adjustRightInd w:val="0"/>
                          <w:spacing w:before="100" w:after="0" w:line="240" w:lineRule="auto"/>
                          <w:rPr>
                            <w:rFonts w:ascii="Calibri" w:hAnsi="Calibri" w:cs="Calibri"/>
                            <w:color w:val="000000"/>
                            <w:sz w:val="23"/>
                            <w:szCs w:val="23"/>
                          </w:rPr>
                        </w:pPr>
                        <w:r w:rsidRPr="00B72401">
                          <w:rPr>
                            <w:b/>
                            <w:noProof/>
                            <w:lang w:val="fr-FR" w:eastAsia="zh-CN"/>
                          </w:rPr>
                          <mc:AlternateContent>
                            <mc:Choice Requires="wps">
                              <w:drawing>
                                <wp:anchor distT="45720" distB="45720" distL="114300" distR="114300" simplePos="0" relativeHeight="251697152" behindDoc="0" locked="0" layoutInCell="1" allowOverlap="1">
                                  <wp:simplePos x="0" y="0"/>
                                  <wp:positionH relativeFrom="column">
                                    <wp:posOffset>308610</wp:posOffset>
                                  </wp:positionH>
                                  <wp:positionV relativeFrom="paragraph">
                                    <wp:posOffset>33020</wp:posOffset>
                                  </wp:positionV>
                                  <wp:extent cx="226060" cy="250190"/>
                                  <wp:effectExtent l="0" t="0" r="0" b="0"/>
                                  <wp:wrapNone/>
                                  <wp:docPr id="55"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6060" cy="250190"/>
                                          </a:xfrm>
                                          <a:prstGeom prst="rect">
                                            <a:avLst/>
                                          </a:prstGeom>
                                          <a:noFill/>
                                          <a:ln w="9525">
                                            <a:noFill/>
                                            <a:miter lim="800000"/>
                                            <a:headEnd/>
                                            <a:tailEnd/>
                                          </a:ln>
                                        </wps:spPr>
                                        <wps:txbx>
                                          <w:txbxContent>
                                            <w:p w:rsidR="00BF790D" w:rsidRPr="0005192E" w:rsidP="00EA0F49" w14:textId="0822530E">
                                              <w:pPr>
                                                <w:spacing w:before="0" w:after="0"/>
                                                <w:jc w:val="left"/>
                                                <w:rPr>
                                                  <w:rFonts w:eastAsia="Times New Roman" w:asciiTheme="minorHAnsi" w:hAnsiTheme="minorHAnsi" w:cstheme="minorHAnsi"/>
                                                  <w:b/>
                                                  <w:bCs/>
                                                  <w:lang w:val="en-GB" w:eastAsia="fr-BE"/>
                                                </w:rPr>
                                              </w:pPr>
                                              <w:r w:rsidRPr="0005192E">
                                                <w:rPr>
                                                  <w:rFonts w:eastAsia="Times New Roman" w:asciiTheme="minorHAnsi" w:hAnsiTheme="minorHAnsi" w:cstheme="minorHAnsi"/>
                                                  <w:b/>
                                                  <w:bCs/>
                                                  <w:lang w:val="en-GB" w:eastAsia="fr-BE"/>
                                                </w:rPr>
                                                <w:t>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5" type="#_x0000_t202" style="width:17.8pt;height:19.7pt;margin-top:2.6pt;margin-left:24.3pt;mso-height-percent:0;mso-height-relative:margin;mso-width-percent:0;mso-width-relative:margin;mso-wrap-distance-bottom:3.6pt;mso-wrap-distance-left:9pt;mso-wrap-distance-right:9pt;mso-wrap-distance-top:3.6pt;position:absolute;v-text-anchor:top;z-index:251696128" filled="f" fillcolor="this" stroked="f" strokeweight="0.75pt">
                                  <v:textbox>
                                    <w:txbxContent>
                                      <w:p w:rsidR="00BF790D" w:rsidRPr="0005192E" w:rsidP="00EA0F49" w14:paraId="7195F098" w14:textId="0822530E">
                                        <w:pPr>
                                          <w:spacing w:before="0" w:after="0"/>
                                          <w:jc w:val="left"/>
                                          <w:rPr>
                                            <w:rFonts w:eastAsia="Times New Roman" w:asciiTheme="minorHAnsi" w:hAnsiTheme="minorHAnsi" w:cstheme="minorHAnsi"/>
                                            <w:b/>
                                            <w:bCs/>
                                            <w:lang w:val="en-GB" w:eastAsia="fr-BE"/>
                                          </w:rPr>
                                        </w:pPr>
                                        <w:r w:rsidRPr="0005192E">
                                          <w:rPr>
                                            <w:rFonts w:eastAsia="Times New Roman" w:asciiTheme="minorHAnsi" w:hAnsiTheme="minorHAnsi" w:cstheme="minorHAnsi"/>
                                            <w:b/>
                                            <w:bCs/>
                                            <w:lang w:val="en-GB" w:eastAsia="fr-BE"/>
                                          </w:rPr>
                                          <w:t>X</w:t>
                                        </w:r>
                                      </w:p>
                                    </w:txbxContent>
                                  </v:textbox>
                                </v:shape>
                              </w:pict>
                            </mc:Fallback>
                          </mc:AlternateContent>
                        </w:r>
                        <w:r>
                          <w:rPr>
                            <w:noProof/>
                            <w:lang w:val="fr-FR" w:eastAsia="zh-CN"/>
                          </w:rPr>
                          <w:drawing>
                            <wp:anchor distT="0" distB="0" distL="114300" distR="114300" simplePos="0" relativeHeight="251693056" behindDoc="0" locked="0" layoutInCell="1" allowOverlap="1">
                              <wp:simplePos x="0" y="0"/>
                              <wp:positionH relativeFrom="column">
                                <wp:posOffset>310183</wp:posOffset>
                              </wp:positionH>
                              <wp:positionV relativeFrom="paragraph">
                                <wp:posOffset>15676</wp:posOffset>
                              </wp:positionV>
                              <wp:extent cx="279400" cy="286385"/>
                              <wp:effectExtent l="0" t="0" r="6350" b="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79400" cy="286385"/>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zh-CN"/>
                          </w:rPr>
                          <w:drawing>
                            <wp:anchor distT="0" distB="0" distL="114300" distR="114300" simplePos="0" relativeHeight="251673600" behindDoc="0" locked="0" layoutInCell="1" allowOverlap="1">
                              <wp:simplePos x="0" y="0"/>
                              <wp:positionH relativeFrom="column">
                                <wp:posOffset>2569</wp:posOffset>
                              </wp:positionH>
                              <wp:positionV relativeFrom="paragraph">
                                <wp:posOffset>60477</wp:posOffset>
                              </wp:positionV>
                              <wp:extent cx="306705" cy="192405"/>
                              <wp:effectExtent l="0" t="0" r="0"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306705" cy="192405"/>
                                      </a:xfrm>
                                      <a:prstGeom prst="rect">
                                        <a:avLst/>
                                      </a:prstGeom>
                                    </pic:spPr>
                                  </pic:pic>
                                </a:graphicData>
                              </a:graphic>
                              <wp14:sizeRelH relativeFrom="margin">
                                <wp14:pctWidth>0</wp14:pctWidth>
                              </wp14:sizeRelH>
                              <wp14:sizeRelV relativeFrom="margin">
                                <wp14:pctHeight>0</wp14:pctHeight>
                              </wp14:sizeRelV>
                            </wp:anchor>
                          </w:drawing>
                        </w:r>
                        <w:r w:rsidRPr="002E394F">
                          <w:rPr>
                            <w:rFonts w:ascii="Calibri" w:hAnsi="Calibri" w:cs="Calibri"/>
                            <w:b/>
                            <w:bCs/>
                            <w:color w:val="000000"/>
                            <w:sz w:val="23"/>
                            <w:szCs w:val="23"/>
                          </w:rPr>
                          <w:t xml:space="preserve">No </w:t>
                        </w:r>
                      </w:p>
                    </w:tc>
                  </w:tr>
                </w:tbl>
                <w:p w:rsidR="00BF790D" w:rsidP="00EA0F49" w14:paraId="57BCE0D1" w14:textId="7E63225F"/>
              </w:tc>
            </w:tr>
            <w:tr w14:paraId="456C66DB" w14:textId="77777777" w:rsidTr="00BA2C4D">
              <w:tblPrEx>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64"/>
              </w:trPr>
              <w:tc>
                <w:tcPr>
                  <w:tcW w:w="4443" w:type="dxa"/>
                  <w:tcBorders>
                    <w:top w:val="nil"/>
                    <w:left w:val="nil"/>
                    <w:bottom w:val="nil"/>
                    <w:right w:val="nil"/>
                  </w:tcBorders>
                  <w:shd w:val="clear" w:color="auto" w:fill="F9E8D4"/>
                </w:tcPr>
                <w:p w:rsidR="00BF790D" w:rsidRPr="007213A7" w:rsidP="00EA0F49" w14:paraId="00C48788" w14:textId="39C5C887">
                  <w:pPr>
                    <w:pStyle w:val="Default"/>
                    <w:numPr>
                      <w:ilvl w:val="0"/>
                      <w:numId w:val="6"/>
                    </w:numPr>
                    <w:rPr>
                      <w:color w:val="808080" w:themeColor="background1" w:themeShade="80"/>
                      <w:sz w:val="22"/>
                      <w:szCs w:val="22"/>
                      <w:lang w:val="en-US"/>
                    </w:rPr>
                  </w:pPr>
                  <w:r w:rsidRPr="00B72401">
                    <w:rPr>
                      <w:b/>
                      <w:noProof/>
                    </w:rPr>
                    <mc:AlternateContent>
                      <mc:Choice Requires="wps">
                        <w:drawing>
                          <wp:anchor distT="45720" distB="45720" distL="114300" distR="114300" simplePos="0" relativeHeight="251695104" behindDoc="0" locked="0" layoutInCell="1" allowOverlap="1">
                            <wp:simplePos x="0" y="0"/>
                            <wp:positionH relativeFrom="column">
                              <wp:posOffset>367030</wp:posOffset>
                            </wp:positionH>
                            <wp:positionV relativeFrom="paragraph">
                              <wp:posOffset>-264160</wp:posOffset>
                            </wp:positionV>
                            <wp:extent cx="210185" cy="261620"/>
                            <wp:effectExtent l="0" t="0" r="0" b="5080"/>
                            <wp:wrapNone/>
                            <wp:docPr id="21"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10185" cy="261620"/>
                                    </a:xfrm>
                                    <a:prstGeom prst="rect">
                                      <a:avLst/>
                                    </a:prstGeom>
                                    <a:noFill/>
                                    <a:ln w="9525">
                                      <a:noFill/>
                                      <a:miter lim="800000"/>
                                      <a:headEnd/>
                                      <a:tailEnd/>
                                    </a:ln>
                                  </wps:spPr>
                                  <wps:txbx>
                                    <w:txbxContent>
                                      <w:p w:rsidR="00BF790D" w:rsidRPr="00480968" w:rsidP="00EA0F49" w14:textId="73AAABB8">
                                        <w:pPr>
                                          <w:pStyle w:val="AMNormal"/>
                                          <w:spacing w:before="0" w:after="0"/>
                                          <w:jc w:val="left"/>
                                          <w:rPr>
                                            <w:rFonts w:asciiTheme="minorHAnsi" w:hAnsiTheme="minorHAnsi" w:cstheme="minorHAnsi"/>
                                            <w:b/>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26" type="#_x0000_t202" style="width:16.55pt;height:20.6pt;margin-top:-20.8pt;margin-left:28.9pt;mso-height-percent:0;mso-height-relative:margin;mso-width-percent:0;mso-width-relative:margin;mso-wrap-distance-bottom:3.6pt;mso-wrap-distance-left:9pt;mso-wrap-distance-right:9pt;mso-wrap-distance-top:3.6pt;position:absolute;v-text-anchor:top;z-index:251694080" filled="f" fillcolor="this" stroked="f" strokeweight="0.75pt">
                            <v:textbox>
                              <w:txbxContent>
                                <w:p w:rsidR="00BF790D" w:rsidRPr="00480968" w:rsidP="00EA0F49" w14:paraId="636762B7" w14:textId="73AAABB8">
                                  <w:pPr>
                                    <w:pStyle w:val="AMNormal"/>
                                    <w:spacing w:before="0" w:after="0"/>
                                    <w:jc w:val="left"/>
                                    <w:rPr>
                                      <w:rFonts w:asciiTheme="minorHAnsi" w:hAnsiTheme="minorHAnsi" w:cstheme="minorHAnsi"/>
                                      <w:b/>
                                    </w:rPr>
                                  </w:pPr>
                                </w:p>
                              </w:txbxContent>
                            </v:textbox>
                          </v:shape>
                        </w:pict>
                      </mc:Fallback>
                    </mc:AlternateContent>
                  </w:r>
                  <w:r w:rsidRPr="007213A7">
                    <w:rPr>
                      <w:noProof/>
                      <w:color w:val="808080" w:themeColor="background1" w:themeShade="80"/>
                      <w:sz w:val="22"/>
                      <w:szCs w:val="22"/>
                    </w:rPr>
                    <w:drawing>
                      <wp:anchor distT="0" distB="0" distL="114300" distR="114300" simplePos="0" relativeHeight="251679744" behindDoc="0" locked="0" layoutInCell="1" allowOverlap="1">
                        <wp:simplePos x="0" y="0"/>
                        <wp:positionH relativeFrom="column">
                          <wp:posOffset>81887</wp:posOffset>
                        </wp:positionH>
                        <wp:positionV relativeFrom="paragraph">
                          <wp:posOffset>118716</wp:posOffset>
                        </wp:positionV>
                        <wp:extent cx="286385" cy="3155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7213A7">
                    <w:rPr>
                      <w:color w:val="808080" w:themeColor="background1" w:themeShade="80"/>
                      <w:sz w:val="22"/>
                      <w:szCs w:val="22"/>
                      <w:lang w:val="en-US"/>
                    </w:rPr>
                    <w:t xml:space="preserve">It will make a minimum of </w:t>
                  </w:r>
                  <w:r w:rsidRPr="007213A7">
                    <w:rPr>
                      <w:b/>
                      <w:bCs/>
                      <w:color w:val="808080" w:themeColor="background1" w:themeShade="80"/>
                      <w:sz w:val="22"/>
                      <w:szCs w:val="22"/>
                      <w:lang w:val="en-US"/>
                    </w:rPr>
                    <w:t xml:space="preserve">sustainable investments with an environmental objective: </w:t>
                  </w:r>
                  <w:r w:rsidRPr="007213A7">
                    <w:rPr>
                      <w:color w:val="808080" w:themeColor="background1" w:themeShade="80"/>
                      <w:sz w:val="22"/>
                      <w:szCs w:val="22"/>
                      <w:lang w:val="en-US"/>
                    </w:rPr>
                    <w:t xml:space="preserve">___% </w:t>
                  </w:r>
                </w:p>
                <w:p w:rsidR="00BF790D" w:rsidRPr="00D208B3" w:rsidP="00EA0F49" w14:paraId="0E900BA8" w14:textId="77777777">
                  <w:pPr>
                    <w:pStyle w:val="Default"/>
                    <w:numPr>
                      <w:ilvl w:val="1"/>
                      <w:numId w:val="5"/>
                    </w:numPr>
                    <w:rPr>
                      <w:color w:val="808080" w:themeColor="background1" w:themeShade="80"/>
                      <w:sz w:val="19"/>
                      <w:szCs w:val="19"/>
                      <w:lang w:val="en-US"/>
                    </w:rPr>
                  </w:pPr>
                  <w:r w:rsidRPr="00D208B3">
                    <w:rPr>
                      <w:noProof/>
                      <w:color w:val="808080" w:themeColor="background1" w:themeShade="80"/>
                    </w:rPr>
                    <w:drawing>
                      <wp:anchor distT="0" distB="0" distL="114300" distR="114300" simplePos="0" relativeHeight="251680768" behindDoc="0" locked="0" layoutInCell="1" allowOverlap="1">
                        <wp:simplePos x="0" y="0"/>
                        <wp:positionH relativeFrom="column">
                          <wp:posOffset>539087</wp:posOffset>
                        </wp:positionH>
                        <wp:positionV relativeFrom="paragraph">
                          <wp:posOffset>163877</wp:posOffset>
                        </wp:positionV>
                        <wp:extent cx="286385" cy="315595"/>
                        <wp:effectExtent l="0" t="0" r="0" b="825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D208B3">
                    <w:rPr>
                      <w:color w:val="808080" w:themeColor="background1" w:themeShade="80"/>
                      <w:sz w:val="19"/>
                      <w:szCs w:val="19"/>
                      <w:lang w:val="en-US"/>
                    </w:rPr>
                    <w:t xml:space="preserve">in economic activities that qualify as environmentally sustainable under the EU Taxonomy </w:t>
                  </w:r>
                </w:p>
                <w:p w:rsidR="00BF790D" w:rsidRPr="00D208B3" w:rsidP="00EA0F49" w14:paraId="471BD5B1" w14:textId="77777777">
                  <w:pPr>
                    <w:pStyle w:val="ListParagraph"/>
                    <w:numPr>
                      <w:ilvl w:val="1"/>
                      <w:numId w:val="11"/>
                    </w:numPr>
                    <w:spacing w:after="0" w:line="240" w:lineRule="auto"/>
                    <w:rPr>
                      <w:color w:val="808080" w:themeColor="background1" w:themeShade="80"/>
                    </w:rPr>
                  </w:pPr>
                  <w:r w:rsidRPr="00D208B3">
                    <w:rPr>
                      <w:noProof/>
                      <w:color w:val="808080" w:themeColor="background1" w:themeShade="80"/>
                      <w:lang w:val="fr-FR" w:eastAsia="zh-CN"/>
                    </w:rPr>
                    <w:drawing>
                      <wp:anchor distT="0" distB="0" distL="114300" distR="114300" simplePos="0" relativeHeight="251681792" behindDoc="0" locked="0" layoutInCell="1" allowOverlap="1">
                        <wp:simplePos x="0" y="0"/>
                        <wp:positionH relativeFrom="column">
                          <wp:posOffset>539087</wp:posOffset>
                        </wp:positionH>
                        <wp:positionV relativeFrom="paragraph">
                          <wp:posOffset>158854</wp:posOffset>
                        </wp:positionV>
                        <wp:extent cx="286385" cy="3155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D208B3">
                    <w:rPr>
                      <w:color w:val="808080" w:themeColor="background1" w:themeShade="80"/>
                      <w:sz w:val="20"/>
                      <w:szCs w:val="20"/>
                    </w:rPr>
                    <w:t xml:space="preserve">in economic activities that do not qualify as environmentally sustainable under the EU Taxonomy </w:t>
                  </w:r>
                </w:p>
              </w:tc>
              <w:tc>
                <w:tcPr>
                  <w:tcW w:w="4443" w:type="dxa"/>
                  <w:tcBorders>
                    <w:top w:val="nil"/>
                    <w:left w:val="nil"/>
                    <w:bottom w:val="nil"/>
                    <w:right w:val="nil"/>
                  </w:tcBorders>
                  <w:shd w:val="clear" w:color="auto" w:fill="F9E8D4"/>
                </w:tcPr>
                <w:p w:rsidR="00BF790D" w:rsidRPr="00D208B3" w:rsidP="00EA0F49" w14:paraId="11E1CC58" w14:textId="54EB2A3B">
                  <w:pPr>
                    <w:pStyle w:val="Default"/>
                    <w:numPr>
                      <w:ilvl w:val="0"/>
                      <w:numId w:val="7"/>
                    </w:numPr>
                    <w:rPr>
                      <w:color w:val="808080" w:themeColor="background1" w:themeShade="80"/>
                      <w:sz w:val="23"/>
                      <w:szCs w:val="23"/>
                      <w:lang w:val="en-US"/>
                    </w:rPr>
                  </w:pPr>
                  <w:r w:rsidRPr="00D208B3">
                    <w:rPr>
                      <w:b/>
                      <w:noProof/>
                      <w:color w:val="808080" w:themeColor="background1" w:themeShade="80"/>
                    </w:rPr>
                    <mc:AlternateContent>
                      <mc:Choice Requires="wps">
                        <w:drawing>
                          <wp:anchor distT="45720" distB="45720" distL="114300" distR="114300" simplePos="0" relativeHeight="251701248" behindDoc="0" locked="0" layoutInCell="1" allowOverlap="1">
                            <wp:simplePos x="0" y="0"/>
                            <wp:positionH relativeFrom="column">
                              <wp:posOffset>52969</wp:posOffset>
                            </wp:positionH>
                            <wp:positionV relativeFrom="paragraph">
                              <wp:posOffset>174625</wp:posOffset>
                            </wp:positionV>
                            <wp:extent cx="259307" cy="279779"/>
                            <wp:effectExtent l="0" t="0" r="0" b="6350"/>
                            <wp:wrapNone/>
                            <wp:docPr id="25"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307" cy="279779"/>
                                    </a:xfrm>
                                    <a:prstGeom prst="rect">
                                      <a:avLst/>
                                    </a:prstGeom>
                                    <a:noFill/>
                                    <a:ln w="9525">
                                      <a:noFill/>
                                      <a:miter lim="800000"/>
                                      <a:headEnd/>
                                      <a:tailEnd/>
                                    </a:ln>
                                  </wps:spPr>
                                  <wps:txbx>
                                    <w:txbxContent>
                                      <w:p w:rsidR="00BF790D" w:rsidRPr="00B35BE7" w:rsidP="00F3780A" w14:textId="352E772A">
                                        <w:pPr>
                                          <w:spacing w:before="0" w:after="0"/>
                                          <w:jc w:val="center"/>
                                          <w:rPr>
                                            <w:rFonts w:eastAsia="Times New Roman" w:asciiTheme="minorHAnsi" w:hAnsiTheme="minorHAnsi" w:cstheme="minorHAnsi"/>
                                            <w:b/>
                                            <w:bCs/>
                                            <w:lang w:val="es-ES" w:eastAsia="fr-BE"/>
                                          </w:rPr>
                                        </w:pPr>
                                        <w:r>
                                          <w:rPr>
                                            <w:rFonts w:eastAsia="Times New Roman" w:asciiTheme="minorHAnsi" w:hAnsiTheme="minorHAnsi" w:cstheme="minorHAnsi"/>
                                            <w:b/>
                                            <w:bCs/>
                                            <w:lang w:val="es-ES" w:eastAsia="fr-BE"/>
                                          </w:rPr>
                                          <w:t>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width:20.42pt;height:22.03pt;margin-top:13.75pt;margin-left:4.17pt;mso-height-percent:0;mso-height-relative:margin;mso-width-percent:0;mso-width-relative:margin;mso-wrap-distance-bottom:3.6pt;mso-wrap-distance-left:9pt;mso-wrap-distance-right:9pt;mso-wrap-distance-top:3.6pt;position:absolute;v-text-anchor:top;z-index:251700224" filled="f" fillcolor="this" stroked="f" strokeweight="0.75pt">
                            <v:textbox>
                              <w:txbxContent>
                                <w:p w:rsidR="00BF790D" w:rsidRPr="00B35BE7" w:rsidP="00F3780A" w14:paraId="3C52EE2B" w14:textId="352E772A">
                                  <w:pPr>
                                    <w:spacing w:before="0" w:after="0"/>
                                    <w:jc w:val="center"/>
                                    <w:rPr>
                                      <w:rFonts w:eastAsia="Times New Roman" w:asciiTheme="minorHAnsi" w:hAnsiTheme="minorHAnsi" w:cstheme="minorHAnsi"/>
                                      <w:b/>
                                      <w:bCs/>
                                      <w:lang w:val="es-ES" w:eastAsia="fr-BE"/>
                                    </w:rPr>
                                  </w:pPr>
                                  <w:r>
                                    <w:rPr>
                                      <w:rFonts w:eastAsia="Times New Roman" w:asciiTheme="minorHAnsi" w:hAnsiTheme="minorHAnsi" w:cstheme="minorHAnsi"/>
                                      <w:b/>
                                      <w:bCs/>
                                      <w:lang w:val="es-ES" w:eastAsia="fr-BE"/>
                                    </w:rPr>
                                    <w:t>X</w:t>
                                  </w:r>
                                </w:p>
                              </w:txbxContent>
                            </v:textbox>
                          </v:shape>
                        </w:pict>
                      </mc:Fallback>
                    </mc:AlternateContent>
                  </w:r>
                  <w:r w:rsidRPr="00D208B3">
                    <w:rPr>
                      <w:b/>
                      <w:noProof/>
                      <w:color w:val="808080" w:themeColor="background1" w:themeShade="80"/>
                    </w:rPr>
                    <mc:AlternateContent>
                      <mc:Choice Requires="wps">
                        <w:drawing>
                          <wp:anchor distT="45720" distB="45720" distL="114300" distR="114300" simplePos="0" relativeHeight="251699200" behindDoc="0" locked="0" layoutInCell="1" allowOverlap="1">
                            <wp:simplePos x="0" y="0"/>
                            <wp:positionH relativeFrom="column">
                              <wp:posOffset>1825128</wp:posOffset>
                            </wp:positionH>
                            <wp:positionV relativeFrom="paragraph">
                              <wp:posOffset>807058</wp:posOffset>
                            </wp:positionV>
                            <wp:extent cx="348018" cy="286603"/>
                            <wp:effectExtent l="0" t="0" r="0" b="0"/>
                            <wp:wrapNone/>
                            <wp:docPr id="56"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8018" cy="286603"/>
                                    </a:xfrm>
                                    <a:prstGeom prst="rect">
                                      <a:avLst/>
                                    </a:prstGeom>
                                    <a:noFill/>
                                    <a:ln w="9525">
                                      <a:noFill/>
                                      <a:miter lim="800000"/>
                                      <a:headEnd/>
                                      <a:tailEnd/>
                                    </a:ln>
                                  </wps:spPr>
                                  <wps:txbx>
                                    <w:txbxContent>
                                      <w:p w:rsidR="00BF790D" w:rsidRPr="00D208B3" w:rsidP="00EA0F49" w14:textId="77777777">
                                        <w:pPr>
                                          <w:spacing w:before="0" w:after="0"/>
                                          <w:jc w:val="left"/>
                                          <w:rPr>
                                            <w:color w:val="808080" w:themeColor="background1" w:themeShade="80"/>
                                            <w:lang w:val="en-US"/>
                                          </w:rPr>
                                        </w:pPr>
                                        <w:r w:rsidRPr="00D208B3">
                                          <w:rPr>
                                            <w:color w:val="808080" w:themeColor="background1" w:themeShade="80"/>
                                            <w:lang w:val="en-US"/>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width:27.4pt;height:22.57pt;margin-top:63.55pt;margin-left:143.71pt;mso-height-percent:0;mso-height-relative:margin;mso-width-percent:0;mso-width-relative:margin;mso-wrap-distance-bottom:3.6pt;mso-wrap-distance-left:9pt;mso-wrap-distance-right:9pt;mso-wrap-distance-top:3.6pt;position:absolute;v-text-anchor:top;z-index:251698176" filled="f" fillcolor="this" stroked="f" strokeweight="0.75pt">
                            <v:textbox>
                              <w:txbxContent>
                                <w:p w:rsidR="00BF790D" w:rsidRPr="00D208B3" w:rsidP="00EA0F49" w14:paraId="375BFE4F" w14:textId="77777777">
                                  <w:pPr>
                                    <w:spacing w:before="0" w:after="0"/>
                                    <w:jc w:val="left"/>
                                    <w:rPr>
                                      <w:color w:val="808080" w:themeColor="background1" w:themeShade="80"/>
                                      <w:lang w:val="en-US"/>
                                    </w:rPr>
                                  </w:pPr>
                                  <w:r w:rsidRPr="00D208B3">
                                    <w:rPr>
                                      <w:color w:val="808080" w:themeColor="background1" w:themeShade="80"/>
                                      <w:lang w:val="en-US"/>
                                    </w:rPr>
                                    <w:t>1%</w:t>
                                  </w:r>
                                </w:p>
                              </w:txbxContent>
                            </v:textbox>
                          </v:shape>
                        </w:pict>
                      </mc:Fallback>
                    </mc:AlternateContent>
                  </w:r>
                  <w:r w:rsidRPr="00D208B3">
                    <w:rPr>
                      <w:noProof/>
                      <w:color w:val="808080" w:themeColor="background1" w:themeShade="80"/>
                    </w:rPr>
                    <w:drawing>
                      <wp:anchor distT="0" distB="0" distL="114300" distR="114300" simplePos="0" relativeHeight="251674624" behindDoc="0" locked="0" layoutInCell="1" allowOverlap="1">
                        <wp:simplePos x="0" y="0"/>
                        <wp:positionH relativeFrom="column">
                          <wp:posOffset>50696</wp:posOffset>
                        </wp:positionH>
                        <wp:positionV relativeFrom="paragraph">
                          <wp:posOffset>155888</wp:posOffset>
                        </wp:positionV>
                        <wp:extent cx="286385" cy="315595"/>
                        <wp:effectExtent l="0" t="0" r="0" b="825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D208B3">
                    <w:rPr>
                      <w:color w:val="808080" w:themeColor="background1" w:themeShade="80"/>
                      <w:sz w:val="23"/>
                      <w:szCs w:val="23"/>
                      <w:lang w:val="en-US"/>
                    </w:rPr>
                    <w:t xml:space="preserve">It </w:t>
                  </w:r>
                  <w:r w:rsidRPr="00D208B3">
                    <w:rPr>
                      <w:b/>
                      <w:bCs/>
                      <w:color w:val="808080" w:themeColor="background1" w:themeShade="80"/>
                      <w:sz w:val="23"/>
                      <w:szCs w:val="23"/>
                      <w:lang w:val="en-US"/>
                    </w:rPr>
                    <w:t xml:space="preserve">promotes Environmental/Social (E/S) characteristics </w:t>
                  </w:r>
                  <w:r w:rsidRPr="00D208B3">
                    <w:rPr>
                      <w:color w:val="808080" w:themeColor="background1" w:themeShade="80"/>
                      <w:sz w:val="23"/>
                      <w:szCs w:val="23"/>
                      <w:lang w:val="en-US"/>
                    </w:rPr>
                    <w:t xml:space="preserve">and while it does not have as its objective a sustainable investment, it will have a minimum proportion of </w:t>
                  </w:r>
                  <w:r w:rsidRPr="00D208B3">
                    <w:rPr>
                      <w:color w:val="808080" w:themeColor="background1" w:themeShade="80"/>
                      <w:sz w:val="20"/>
                      <w:szCs w:val="20"/>
                      <w:lang w:val="en-US"/>
                    </w:rPr>
                    <w:t xml:space="preserve">___% of </w:t>
                  </w:r>
                  <w:r w:rsidRPr="00D208B3">
                    <w:rPr>
                      <w:color w:val="808080" w:themeColor="background1" w:themeShade="80"/>
                      <w:sz w:val="23"/>
                      <w:szCs w:val="23"/>
                      <w:lang w:val="en-US"/>
                    </w:rPr>
                    <w:t xml:space="preserve">sustainable investments </w:t>
                  </w:r>
                </w:p>
                <w:p w:rsidR="00BF790D" w:rsidRPr="00D208B3" w:rsidP="00EA0F49" w14:paraId="1E691075" w14:textId="0E4C71D0">
                  <w:pPr>
                    <w:pStyle w:val="Default"/>
                    <w:numPr>
                      <w:ilvl w:val="1"/>
                      <w:numId w:val="8"/>
                    </w:numPr>
                    <w:rPr>
                      <w:color w:val="808080" w:themeColor="background1" w:themeShade="80"/>
                      <w:sz w:val="20"/>
                      <w:szCs w:val="20"/>
                      <w:lang w:val="en-US"/>
                    </w:rPr>
                  </w:pPr>
                  <w:r w:rsidRPr="00D208B3">
                    <w:rPr>
                      <w:b/>
                      <w:noProof/>
                      <w:color w:val="808080" w:themeColor="background1" w:themeShade="80"/>
                    </w:rPr>
                    <mc:AlternateContent>
                      <mc:Choice Requires="wps">
                        <w:drawing>
                          <wp:anchor distT="45720" distB="45720" distL="114300" distR="114300" simplePos="0" relativeHeight="251684864" behindDoc="0" locked="0" layoutInCell="1" allowOverlap="1">
                            <wp:simplePos x="0" y="0"/>
                            <wp:positionH relativeFrom="column">
                              <wp:posOffset>510104</wp:posOffset>
                            </wp:positionH>
                            <wp:positionV relativeFrom="paragraph">
                              <wp:posOffset>199077</wp:posOffset>
                            </wp:positionV>
                            <wp:extent cx="259307" cy="279779"/>
                            <wp:effectExtent l="0" t="0" r="0" b="6350"/>
                            <wp:wrapNone/>
                            <wp:docPr id="57"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9307" cy="279779"/>
                                    </a:xfrm>
                                    <a:prstGeom prst="rect">
                                      <a:avLst/>
                                    </a:prstGeom>
                                    <a:noFill/>
                                    <a:ln w="9525">
                                      <a:noFill/>
                                      <a:miter lim="800000"/>
                                      <a:headEnd/>
                                      <a:tailEnd/>
                                    </a:ln>
                                  </wps:spPr>
                                  <wps:txbx>
                                    <w:txbxContent>
                                      <w:p w:rsidR="00BF790D" w:rsidRPr="00B35BE7" w:rsidP="00EA0F49" w14:textId="1420155F">
                                        <w:pPr>
                                          <w:spacing w:before="0" w:after="0"/>
                                          <w:jc w:val="center"/>
                                          <w:rPr>
                                            <w:rFonts w:eastAsia="Times New Roman" w:asciiTheme="minorHAnsi" w:hAnsiTheme="minorHAnsi" w:cstheme="minorHAnsi"/>
                                            <w:b/>
                                            <w:bCs/>
                                            <w:lang w:val="es-ES" w:eastAsia="fr-B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29" type="#_x0000_t202" style="width:20.42pt;height:22.03pt;margin-top:15.68pt;margin-left:40.17pt;mso-height-percent:0;mso-height-relative:margin;mso-width-percent:0;mso-width-relative:margin;mso-wrap-distance-bottom:3.6pt;mso-wrap-distance-left:9pt;mso-wrap-distance-right:9pt;mso-wrap-distance-top:3.6pt;position:absolute;v-text-anchor:top;z-index:251683840" filled="f" fillcolor="this" stroked="f" strokeweight="0.75pt">
                            <v:textbox>
                              <w:txbxContent>
                                <w:p w:rsidR="00BF790D" w:rsidRPr="00B35BE7" w:rsidP="00EA0F49" w14:paraId="019236F4" w14:textId="1420155F">
                                  <w:pPr>
                                    <w:spacing w:before="0" w:after="0"/>
                                    <w:jc w:val="center"/>
                                    <w:rPr>
                                      <w:rFonts w:eastAsia="Times New Roman" w:asciiTheme="minorHAnsi" w:hAnsiTheme="minorHAnsi" w:cstheme="minorHAnsi"/>
                                      <w:b/>
                                      <w:bCs/>
                                      <w:lang w:val="es-ES" w:eastAsia="fr-BE"/>
                                    </w:rPr>
                                  </w:pPr>
                                </w:p>
                              </w:txbxContent>
                            </v:textbox>
                          </v:shape>
                        </w:pict>
                      </mc:Fallback>
                    </mc:AlternateContent>
                  </w:r>
                  <w:r w:rsidRPr="00D208B3">
                    <w:rPr>
                      <w:noProof/>
                      <w:color w:val="808080" w:themeColor="background1" w:themeShade="80"/>
                    </w:rPr>
                    <w:drawing>
                      <wp:anchor distT="0" distB="0" distL="114300" distR="114300" simplePos="0" relativeHeight="251675648" behindDoc="0" locked="0" layoutInCell="1" allowOverlap="1">
                        <wp:simplePos x="0" y="0"/>
                        <wp:positionH relativeFrom="column">
                          <wp:posOffset>504190</wp:posOffset>
                        </wp:positionH>
                        <wp:positionV relativeFrom="paragraph">
                          <wp:posOffset>178130</wp:posOffset>
                        </wp:positionV>
                        <wp:extent cx="286385" cy="315595"/>
                        <wp:effectExtent l="0" t="0" r="0" b="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D208B3">
                    <w:rPr>
                      <w:color w:val="808080" w:themeColor="background1" w:themeShade="80"/>
                      <w:sz w:val="20"/>
                      <w:szCs w:val="20"/>
                      <w:lang w:val="en-US"/>
                    </w:rPr>
                    <w:t xml:space="preserve">with an environmental objective in economic activities that qualify as environmentally sustainable under the EU Taxonomy </w:t>
                  </w:r>
                </w:p>
                <w:p w:rsidR="00BF790D" w:rsidRPr="00D208B3" w:rsidP="00EA0F49" w14:paraId="3FA90CBB" w14:textId="51210B70">
                  <w:pPr>
                    <w:pStyle w:val="Default"/>
                    <w:numPr>
                      <w:ilvl w:val="1"/>
                      <w:numId w:val="8"/>
                    </w:numPr>
                    <w:rPr>
                      <w:color w:val="808080" w:themeColor="background1" w:themeShade="80"/>
                      <w:sz w:val="20"/>
                      <w:szCs w:val="20"/>
                      <w:lang w:val="en-US"/>
                    </w:rPr>
                  </w:pPr>
                  <w:r w:rsidRPr="00D208B3">
                    <w:rPr>
                      <w:b/>
                      <w:noProof/>
                      <w:color w:val="808080" w:themeColor="background1" w:themeShade="80"/>
                    </w:rPr>
                    <mc:AlternateContent>
                      <mc:Choice Requires="wps">
                        <w:drawing>
                          <wp:anchor distT="45720" distB="45720" distL="114300" distR="114300" simplePos="0" relativeHeight="251686912" behindDoc="0" locked="0" layoutInCell="1" allowOverlap="1">
                            <wp:simplePos x="0" y="0"/>
                            <wp:positionH relativeFrom="column">
                              <wp:posOffset>509270</wp:posOffset>
                            </wp:positionH>
                            <wp:positionV relativeFrom="paragraph">
                              <wp:posOffset>178435</wp:posOffset>
                            </wp:positionV>
                            <wp:extent cx="194310" cy="254000"/>
                            <wp:effectExtent l="0" t="0" r="0" b="0"/>
                            <wp:wrapNone/>
                            <wp:docPr id="58"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 cy="254000"/>
                                    </a:xfrm>
                                    <a:prstGeom prst="rect">
                                      <a:avLst/>
                                    </a:prstGeom>
                                    <a:noFill/>
                                    <a:ln w="9525">
                                      <a:noFill/>
                                      <a:miter lim="800000"/>
                                      <a:headEnd/>
                                      <a:tailEnd/>
                                    </a:ln>
                                  </wps:spPr>
                                  <wps:txbx>
                                    <w:txbxContent>
                                      <w:p w:rsidR="00BF790D" w:rsidRPr="002F47E8" w:rsidP="00EA0F49" w14:textId="60F508EF">
                                        <w:pPr>
                                          <w:spacing w:before="0" w:after="0"/>
                                          <w:jc w:val="center"/>
                                          <w:rPr>
                                            <w:rFonts w:eastAsia="Times New Roman" w:asciiTheme="minorHAnsi" w:hAnsiTheme="minorHAnsi" w:cstheme="minorHAnsi"/>
                                            <w:b/>
                                            <w:bCs/>
                                            <w:lang w:val="es-ES" w:eastAsia="fr-BE"/>
                                          </w:rPr>
                                        </w:pPr>
                                        <w:r w:rsidRPr="002F47E8">
                                          <w:rPr>
                                            <w:rFonts w:eastAsia="Times New Roman" w:asciiTheme="minorHAnsi" w:hAnsiTheme="minorHAnsi" w:cstheme="minorHAnsi"/>
                                            <w:b/>
                                            <w:bCs/>
                                            <w:lang w:val="es-ES" w:eastAsia="fr-BE"/>
                                          </w:rPr>
                                          <w:t>X</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width:15.3pt;height:20pt;margin-top:14.05pt;margin-left:40.1pt;mso-height-percent:0;mso-height-relative:margin;mso-width-percent:0;mso-width-relative:margin;mso-wrap-distance-bottom:3.6pt;mso-wrap-distance-left:9pt;mso-wrap-distance-right:9pt;mso-wrap-distance-top:3.6pt;position:absolute;v-text-anchor:top;z-index:251685888" filled="f" fillcolor="this" stroked="f" strokeweight="0.75pt">
                            <v:textbox>
                              <w:txbxContent>
                                <w:p w:rsidR="00BF790D" w:rsidRPr="002F47E8" w:rsidP="00EA0F49" w14:paraId="456B770B" w14:textId="60F508EF">
                                  <w:pPr>
                                    <w:spacing w:before="0" w:after="0"/>
                                    <w:jc w:val="center"/>
                                    <w:rPr>
                                      <w:rFonts w:eastAsia="Times New Roman" w:asciiTheme="minorHAnsi" w:hAnsiTheme="minorHAnsi" w:cstheme="minorHAnsi"/>
                                      <w:b/>
                                      <w:bCs/>
                                      <w:lang w:val="es-ES" w:eastAsia="fr-BE"/>
                                    </w:rPr>
                                  </w:pPr>
                                  <w:r w:rsidRPr="002F47E8">
                                    <w:rPr>
                                      <w:rFonts w:eastAsia="Times New Roman" w:asciiTheme="minorHAnsi" w:hAnsiTheme="minorHAnsi" w:cstheme="minorHAnsi"/>
                                      <w:b/>
                                      <w:bCs/>
                                      <w:lang w:val="es-ES" w:eastAsia="fr-BE"/>
                                    </w:rPr>
                                    <w:t>X</w:t>
                                  </w:r>
                                </w:p>
                              </w:txbxContent>
                            </v:textbox>
                          </v:shape>
                        </w:pict>
                      </mc:Fallback>
                    </mc:AlternateContent>
                  </w:r>
                  <w:r w:rsidRPr="00D208B3">
                    <w:rPr>
                      <w:noProof/>
                      <w:color w:val="808080" w:themeColor="background1" w:themeShade="80"/>
                    </w:rPr>
                    <w:drawing>
                      <wp:anchor distT="0" distB="0" distL="114300" distR="114300" simplePos="0" relativeHeight="251676672" behindDoc="0" locked="0" layoutInCell="1" allowOverlap="1">
                        <wp:simplePos x="0" y="0"/>
                        <wp:positionH relativeFrom="column">
                          <wp:posOffset>504332</wp:posOffset>
                        </wp:positionH>
                        <wp:positionV relativeFrom="paragraph">
                          <wp:posOffset>148855</wp:posOffset>
                        </wp:positionV>
                        <wp:extent cx="286385" cy="315595"/>
                        <wp:effectExtent l="0" t="0" r="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D208B3">
                    <w:rPr>
                      <w:color w:val="808080" w:themeColor="background1" w:themeShade="80"/>
                      <w:sz w:val="20"/>
                      <w:szCs w:val="20"/>
                      <w:lang w:val="en-US"/>
                    </w:rPr>
                    <w:t xml:space="preserve">with an environmental objective in economic activities that do not qualify as environmentally sustainable under the EU Taxonomy </w:t>
                  </w:r>
                </w:p>
                <w:p w:rsidR="00BF790D" w:rsidRPr="00D208B3" w:rsidP="00EA0F49" w14:paraId="535A2C90" w14:textId="7BC0989C">
                  <w:pPr>
                    <w:pStyle w:val="ListParagraph"/>
                    <w:numPr>
                      <w:ilvl w:val="1"/>
                      <w:numId w:val="8"/>
                    </w:numPr>
                    <w:spacing w:after="0" w:line="240" w:lineRule="auto"/>
                    <w:rPr>
                      <w:color w:val="808080" w:themeColor="background1" w:themeShade="80"/>
                    </w:rPr>
                  </w:pPr>
                  <w:r w:rsidRPr="00D208B3">
                    <w:rPr>
                      <w:b/>
                      <w:noProof/>
                      <w:color w:val="808080" w:themeColor="background1" w:themeShade="80"/>
                      <w:lang w:val="fr-FR" w:eastAsia="zh-CN"/>
                    </w:rPr>
                    <mc:AlternateContent>
                      <mc:Choice Requires="wps">
                        <w:drawing>
                          <wp:anchor distT="45720" distB="45720" distL="114300" distR="114300" simplePos="0" relativeHeight="251688960" behindDoc="0" locked="0" layoutInCell="1" allowOverlap="1">
                            <wp:simplePos x="0" y="0"/>
                            <wp:positionH relativeFrom="column">
                              <wp:posOffset>542925</wp:posOffset>
                            </wp:positionH>
                            <wp:positionV relativeFrom="paragraph">
                              <wp:posOffset>175260</wp:posOffset>
                            </wp:positionV>
                            <wp:extent cx="206375" cy="246380"/>
                            <wp:effectExtent l="0" t="0" r="0" b="1270"/>
                            <wp:wrapNone/>
                            <wp:docPr id="59"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6375" cy="246380"/>
                                    </a:xfrm>
                                    <a:prstGeom prst="rect">
                                      <a:avLst/>
                                    </a:prstGeom>
                                    <a:noFill/>
                                    <a:ln w="9525">
                                      <a:noFill/>
                                      <a:miter lim="800000"/>
                                      <a:headEnd/>
                                      <a:tailEnd/>
                                    </a:ln>
                                  </wps:spPr>
                                  <wps:txbx>
                                    <w:txbxContent>
                                      <w:p w:rsidR="00BF790D" w:rsidRPr="002B1C59" w:rsidP="00EA0F49" w14:textId="3B7A5A43">
                                        <w:pPr>
                                          <w:spacing w:before="0" w:after="0"/>
                                          <w:jc w:val="center"/>
                                          <w:rPr>
                                            <w:lang w:val="en-US"/>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31" type="#_x0000_t202" style="width:16.25pt;height:19.4pt;margin-top:13.8pt;margin-left:42.75pt;mso-height-percent:0;mso-height-relative:margin;mso-width-percent:0;mso-width-relative:margin;mso-wrap-distance-bottom:3.6pt;mso-wrap-distance-left:9pt;mso-wrap-distance-right:9pt;mso-wrap-distance-top:3.6pt;position:absolute;v-text-anchor:top;z-index:251687936" filled="f" fillcolor="this" stroked="f" strokeweight="0.75pt">
                            <v:textbox>
                              <w:txbxContent>
                                <w:p w:rsidR="00BF790D" w:rsidRPr="002B1C59" w:rsidP="00EA0F49" w14:paraId="37E83105" w14:textId="3B7A5A43">
                                  <w:pPr>
                                    <w:spacing w:before="0" w:after="0"/>
                                    <w:jc w:val="center"/>
                                    <w:rPr>
                                      <w:lang w:val="en-US"/>
                                    </w:rPr>
                                  </w:pPr>
                                </w:p>
                              </w:txbxContent>
                            </v:textbox>
                          </v:shape>
                        </w:pict>
                      </mc:Fallback>
                    </mc:AlternateContent>
                  </w:r>
                  <w:r w:rsidRPr="00D208B3">
                    <w:rPr>
                      <w:noProof/>
                      <w:color w:val="808080" w:themeColor="background1" w:themeShade="80"/>
                      <w:lang w:val="fr-FR" w:eastAsia="zh-CN"/>
                    </w:rPr>
                    <w:drawing>
                      <wp:anchor distT="0" distB="0" distL="114300" distR="114300" simplePos="0" relativeHeight="251677696" behindDoc="0" locked="0" layoutInCell="1" allowOverlap="1">
                        <wp:simplePos x="0" y="0"/>
                        <wp:positionH relativeFrom="column">
                          <wp:posOffset>531628</wp:posOffset>
                        </wp:positionH>
                        <wp:positionV relativeFrom="paragraph">
                          <wp:posOffset>144572</wp:posOffset>
                        </wp:positionV>
                        <wp:extent cx="286385" cy="315595"/>
                        <wp:effectExtent l="0" t="0" r="0" b="825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D208B3">
                    <w:rPr>
                      <w:color w:val="808080" w:themeColor="background1" w:themeShade="80"/>
                      <w:sz w:val="20"/>
                      <w:szCs w:val="20"/>
                    </w:rPr>
                    <w:t xml:space="preserve">with a social objective </w:t>
                  </w:r>
                </w:p>
              </w:tc>
            </w:tr>
            <w:tr w14:paraId="5C9D5F3A" w14:textId="77777777" w:rsidTr="00BA2C4D">
              <w:tblPrEx>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71"/>
              </w:trPr>
              <w:tc>
                <w:tcPr>
                  <w:tcW w:w="4443" w:type="dxa"/>
                  <w:tcBorders>
                    <w:top w:val="nil"/>
                    <w:left w:val="nil"/>
                    <w:bottom w:val="nil"/>
                    <w:right w:val="nil"/>
                  </w:tcBorders>
                  <w:shd w:val="clear" w:color="auto" w:fill="F9E8D4"/>
                </w:tcPr>
                <w:p w:rsidR="00BF790D" w:rsidRPr="00D208B3" w:rsidP="00EA0F49" w14:paraId="6AB2B187" w14:textId="77777777">
                  <w:pPr>
                    <w:pStyle w:val="Default"/>
                    <w:numPr>
                      <w:ilvl w:val="0"/>
                      <w:numId w:val="9"/>
                    </w:numPr>
                    <w:rPr>
                      <w:rFonts w:asciiTheme="minorHAnsi" w:hAnsiTheme="minorHAnsi" w:cstheme="minorBidi"/>
                      <w:color w:val="808080" w:themeColor="background1" w:themeShade="80"/>
                      <w:sz w:val="20"/>
                      <w:szCs w:val="20"/>
                      <w:lang w:val="en-US"/>
                    </w:rPr>
                  </w:pPr>
                  <w:r w:rsidRPr="00D208B3">
                    <w:rPr>
                      <w:noProof/>
                      <w:color w:val="808080" w:themeColor="background1" w:themeShade="80"/>
                    </w:rPr>
                    <w:drawing>
                      <wp:anchor distT="0" distB="0" distL="114300" distR="114300" simplePos="0" relativeHeight="251682816" behindDoc="0" locked="0" layoutInCell="1" allowOverlap="1">
                        <wp:simplePos x="0" y="0"/>
                        <wp:positionH relativeFrom="column">
                          <wp:posOffset>74911</wp:posOffset>
                        </wp:positionH>
                        <wp:positionV relativeFrom="paragraph">
                          <wp:posOffset>144041</wp:posOffset>
                        </wp:positionV>
                        <wp:extent cx="286385" cy="315595"/>
                        <wp:effectExtent l="0" t="0" r="0" b="825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D208B3">
                    <w:rPr>
                      <w:rFonts w:asciiTheme="minorHAnsi" w:hAnsiTheme="minorHAnsi" w:cstheme="minorBidi"/>
                      <w:color w:val="808080" w:themeColor="background1" w:themeShade="80"/>
                      <w:sz w:val="20"/>
                      <w:szCs w:val="20"/>
                      <w:lang w:val="en-US"/>
                    </w:rPr>
                    <w:t xml:space="preserve">It will make a minimum of </w:t>
                  </w:r>
                  <w:r w:rsidRPr="00D208B3">
                    <w:rPr>
                      <w:rFonts w:asciiTheme="minorHAnsi" w:hAnsiTheme="minorHAnsi" w:cstheme="minorBidi"/>
                      <w:b/>
                      <w:color w:val="808080" w:themeColor="background1" w:themeShade="80"/>
                      <w:sz w:val="20"/>
                      <w:szCs w:val="20"/>
                      <w:lang w:val="en-US"/>
                    </w:rPr>
                    <w:t>sustainable investments with a social objective: ___%</w:t>
                  </w:r>
                  <w:r w:rsidRPr="00D208B3">
                    <w:rPr>
                      <w:rFonts w:asciiTheme="minorHAnsi" w:hAnsiTheme="minorHAnsi" w:cstheme="minorBidi"/>
                      <w:color w:val="808080" w:themeColor="background1" w:themeShade="80"/>
                      <w:sz w:val="20"/>
                      <w:szCs w:val="20"/>
                      <w:lang w:val="en-US"/>
                    </w:rPr>
                    <w:t xml:space="preserve"> </w:t>
                  </w:r>
                </w:p>
                <w:p w:rsidR="00BF790D" w:rsidRPr="00D208B3" w:rsidP="00EA0F49" w14:paraId="64517D4E" w14:textId="77777777">
                  <w:pPr>
                    <w:rPr>
                      <w:color w:val="808080" w:themeColor="background1" w:themeShade="80"/>
                      <w:lang w:val="en-US"/>
                    </w:rPr>
                  </w:pPr>
                </w:p>
              </w:tc>
              <w:tc>
                <w:tcPr>
                  <w:tcW w:w="4443" w:type="dxa"/>
                  <w:tcBorders>
                    <w:top w:val="nil"/>
                    <w:left w:val="nil"/>
                    <w:bottom w:val="nil"/>
                    <w:right w:val="nil"/>
                  </w:tcBorders>
                  <w:shd w:val="clear" w:color="auto" w:fill="F9E8D4"/>
                </w:tcPr>
                <w:p w:rsidR="00BF790D" w:rsidRPr="00D208B3" w:rsidP="00EA0F49" w14:paraId="4947A54D" w14:textId="2ADF27D3">
                  <w:pPr>
                    <w:pStyle w:val="Default"/>
                    <w:numPr>
                      <w:ilvl w:val="0"/>
                      <w:numId w:val="10"/>
                    </w:numPr>
                    <w:rPr>
                      <w:color w:val="808080" w:themeColor="background1" w:themeShade="80"/>
                      <w:sz w:val="23"/>
                      <w:szCs w:val="23"/>
                      <w:lang w:val="en-US"/>
                    </w:rPr>
                  </w:pPr>
                  <w:r w:rsidRPr="00D208B3">
                    <w:rPr>
                      <w:b/>
                      <w:noProof/>
                      <w:color w:val="808080" w:themeColor="background1" w:themeShade="80"/>
                    </w:rPr>
                    <mc:AlternateContent>
                      <mc:Choice Requires="wps">
                        <w:drawing>
                          <wp:anchor distT="45720" distB="45720" distL="114300" distR="114300" simplePos="0" relativeHeight="251691008" behindDoc="0" locked="0" layoutInCell="1" allowOverlap="1">
                            <wp:simplePos x="0" y="0"/>
                            <wp:positionH relativeFrom="column">
                              <wp:posOffset>98425</wp:posOffset>
                            </wp:positionH>
                            <wp:positionV relativeFrom="paragraph">
                              <wp:posOffset>165735</wp:posOffset>
                            </wp:positionV>
                            <wp:extent cx="238836" cy="286603"/>
                            <wp:effectExtent l="0" t="0" r="0" b="0"/>
                            <wp:wrapNone/>
                            <wp:docPr id="62"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8836" cy="286603"/>
                                    </a:xfrm>
                                    <a:prstGeom prst="rect">
                                      <a:avLst/>
                                    </a:prstGeom>
                                    <a:noFill/>
                                    <a:ln w="9525">
                                      <a:noFill/>
                                      <a:miter lim="800000"/>
                                      <a:headEnd/>
                                      <a:tailEnd/>
                                    </a:ln>
                                  </wps:spPr>
                                  <wps:txbx>
                                    <w:txbxContent>
                                      <w:p w:rsidR="00BF790D" w:rsidRPr="002F47E8" w:rsidP="00EA0F49" w14:textId="77777777">
                                        <w:pPr>
                                          <w:spacing w:before="0" w:after="0"/>
                                          <w:jc w:val="center"/>
                                          <w:rPr>
                                            <w:rFonts w:eastAsia="Times New Roman" w:asciiTheme="minorHAnsi" w:hAnsiTheme="minorHAnsi" w:cstheme="minorHAnsi"/>
                                            <w:b/>
                                            <w:bCs/>
                                            <w:lang w:val="en-GB" w:eastAsia="fr-B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32" type="#_x0000_t202" style="width:18.81pt;height:22.57pt;margin-top:13.05pt;margin-left:7.75pt;mso-height-percent:0;mso-height-relative:margin;mso-width-percent:0;mso-width-relative:margin;mso-wrap-distance-bottom:3.6pt;mso-wrap-distance-left:9pt;mso-wrap-distance-right:9pt;mso-wrap-distance-top:3.6pt;position:absolute;v-text-anchor:top;z-index:251689984" filled="f" fillcolor="this" stroked="f" strokeweight="0.75pt">
                            <v:textbox>
                              <w:txbxContent>
                                <w:p w:rsidR="00BF790D" w:rsidRPr="002F47E8" w:rsidP="00EA0F49" w14:paraId="5076B8AC" w14:textId="77777777">
                                  <w:pPr>
                                    <w:spacing w:before="0" w:after="0"/>
                                    <w:jc w:val="center"/>
                                    <w:rPr>
                                      <w:rFonts w:eastAsia="Times New Roman" w:asciiTheme="minorHAnsi" w:hAnsiTheme="minorHAnsi" w:cstheme="minorHAnsi"/>
                                      <w:b/>
                                      <w:bCs/>
                                      <w:lang w:val="en-GB" w:eastAsia="fr-BE"/>
                                    </w:rPr>
                                  </w:pPr>
                                </w:p>
                              </w:txbxContent>
                            </v:textbox>
                          </v:shape>
                        </w:pict>
                      </mc:Fallback>
                    </mc:AlternateContent>
                  </w:r>
                  <w:r w:rsidRPr="00D208B3">
                    <w:rPr>
                      <w:noProof/>
                      <w:color w:val="808080" w:themeColor="background1" w:themeShade="80"/>
                    </w:rPr>
                    <w:drawing>
                      <wp:anchor distT="0" distB="0" distL="114300" distR="114300" simplePos="0" relativeHeight="251678720" behindDoc="0" locked="0" layoutInCell="1" allowOverlap="1">
                        <wp:simplePos x="0" y="0"/>
                        <wp:positionH relativeFrom="column">
                          <wp:posOffset>74427</wp:posOffset>
                        </wp:positionH>
                        <wp:positionV relativeFrom="paragraph">
                          <wp:posOffset>142296</wp:posOffset>
                        </wp:positionV>
                        <wp:extent cx="286385" cy="315595"/>
                        <wp:effectExtent l="0" t="0" r="0" b="825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86385" cy="315595"/>
                                </a:xfrm>
                                <a:prstGeom prst="rect">
                                  <a:avLst/>
                                </a:prstGeom>
                              </pic:spPr>
                            </pic:pic>
                          </a:graphicData>
                        </a:graphic>
                        <wp14:sizeRelH relativeFrom="margin">
                          <wp14:pctWidth>0</wp14:pctWidth>
                        </wp14:sizeRelH>
                        <wp14:sizeRelV relativeFrom="margin">
                          <wp14:pctHeight>0</wp14:pctHeight>
                        </wp14:sizeRelV>
                      </wp:anchor>
                    </w:drawing>
                  </w:r>
                  <w:r w:rsidRPr="00D208B3">
                    <w:rPr>
                      <w:color w:val="808080" w:themeColor="background1" w:themeShade="80"/>
                      <w:sz w:val="23"/>
                      <w:szCs w:val="23"/>
                      <w:lang w:val="en-US"/>
                    </w:rPr>
                    <w:t xml:space="preserve">It promotes E/S characteristics, but </w:t>
                  </w:r>
                  <w:r w:rsidRPr="00D208B3">
                    <w:rPr>
                      <w:b/>
                      <w:bCs/>
                      <w:color w:val="808080" w:themeColor="background1" w:themeShade="80"/>
                      <w:sz w:val="23"/>
                      <w:szCs w:val="23"/>
                      <w:lang w:val="en-US"/>
                    </w:rPr>
                    <w:t xml:space="preserve">will not make any sustainable investments </w:t>
                  </w:r>
                </w:p>
              </w:tc>
            </w:tr>
          </w:tbl>
          <w:p w:rsidR="00BF790D" w:rsidRPr="00536F4C" w:rsidP="007D1F61" w14:paraId="7E51BF83" w14:textId="355D0388">
            <w:pPr>
              <w:rPr>
                <w:lang w:val="en-GB"/>
              </w:rPr>
            </w:pPr>
          </w:p>
        </w:tc>
      </w:tr>
      <w:tr w14:paraId="3476E386" w14:textId="77777777" w:rsidTr="00BF790D">
        <w:tblPrEx>
          <w:tblW w:w="11204" w:type="dxa"/>
          <w:tblInd w:w="-714" w:type="dxa"/>
          <w:tblLayout w:type="fixed"/>
          <w:tblLook w:val="04A0"/>
        </w:tblPrEx>
        <w:trPr>
          <w:gridAfter w:val="1"/>
          <w:wAfter w:w="284" w:type="dxa"/>
          <w:trHeight w:val="1134"/>
        </w:trPr>
        <w:tc>
          <w:tcPr>
            <w:tcW w:w="1985" w:type="dxa"/>
          </w:tcPr>
          <w:p w:rsidR="00D208B3" w:rsidRPr="00536F4C" w:rsidP="007D1F61" w14:paraId="17ACBA6A" w14:textId="58C95FFF">
            <w:pPr>
              <w:rPr>
                <w:rFonts w:ascii="Calibri" w:eastAsia="Calibri" w:hAnsi="Calibri" w:cs="Calibri"/>
                <w:b/>
                <w:bCs/>
                <w:noProof/>
                <w:lang w:val="en-GB" w:eastAsia="en-GB"/>
              </w:rPr>
            </w:pPr>
            <w:r>
              <w:rPr>
                <w:rFonts w:ascii="Calibri" w:eastAsia="Calibri" w:hAnsi="Calibri" w:cs="Calibri"/>
                <w:b/>
                <w:bCs/>
                <w:noProof/>
                <w:lang w:val="fr-FR" w:eastAsia="zh-CN"/>
              </w:rPr>
              <mc:AlternateContent>
                <mc:Choice Requires="wpg">
                  <w:drawing>
                    <wp:anchor distT="0" distB="0" distL="114300" distR="114300" simplePos="0" relativeHeight="251663360" behindDoc="0" locked="0" layoutInCell="1" allowOverlap="1">
                      <wp:simplePos x="0" y="0"/>
                      <wp:positionH relativeFrom="column">
                        <wp:posOffset>-93345</wp:posOffset>
                      </wp:positionH>
                      <wp:positionV relativeFrom="paragraph">
                        <wp:posOffset>21920</wp:posOffset>
                      </wp:positionV>
                      <wp:extent cx="1844040" cy="753745"/>
                      <wp:effectExtent l="0" t="0" r="3810" b="8255"/>
                      <wp:wrapNone/>
                      <wp:docPr id="23" name="Group 23"/>
                      <wp:cNvGraphicFramePr/>
                      <a:graphic xmlns:a="http://schemas.openxmlformats.org/drawingml/2006/main">
                        <a:graphicData uri="http://schemas.microsoft.com/office/word/2010/wordprocessingGroup">
                          <wpg:wgp xmlns:wpg="http://schemas.microsoft.com/office/word/2010/wordprocessingGroup">
                            <wpg:cNvGrpSpPr/>
                            <wpg:grpSpPr>
                              <a:xfrm>
                                <a:off x="0" y="0"/>
                                <a:ext cx="1844040" cy="753745"/>
                                <a:chOff x="0" y="0"/>
                                <a:chExt cx="1844656" cy="753950"/>
                              </a:xfrm>
                            </wpg:grpSpPr>
                            <pic:pic xmlns:pic="http://schemas.openxmlformats.org/drawingml/2006/picture">
                              <pic:nvPicPr>
                                <pic:cNvPr id="4" name="Picture 4"/>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rcRect l="1479" r="4443"/>
                                <a:stretch>
                                  <a:fillRect/>
                                </a:stretch>
                              </pic:blipFill>
                              <pic:spPr bwMode="auto">
                                <a:xfrm>
                                  <a:off x="15856" y="5285"/>
                                  <a:ext cx="1828800" cy="748665"/>
                                </a:xfrm>
                                <a:prstGeom prst="rect">
                                  <a:avLst/>
                                </a:prstGeom>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20" name="Rectangle 20"/>
                              <wps:cNvSpPr/>
                              <wps:spPr>
                                <a:xfrm>
                                  <a:off x="0" y="0"/>
                                  <a:ext cx="1350093" cy="457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23" o:spid="_x0000_s1033" style="width:145.2pt;height:59.35pt;margin-top:1.75pt;margin-left:-7.35pt;position:absolute;z-index:251664384" coordsize="18446,7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4" type="#_x0000_t75" style="width:18288;height:7487;left:158;mso-wrap-style:square;position:absolute;top:52;visibility:visible">
                        <v:imagedata r:id="rId9" o:title="" cropleft="969f" cropright="2912f"/>
                        <v:path arrowok="t"/>
                      </v:shape>
                      <v:rect id="Rectangle 20" o:spid="_x0000_s1035" style="width:13500;height:457;mso-wrap-style:square;position:absolute;visibility:visible;v-text-anchor:middle" fillcolor="white" strokecolor="white" strokeweight="1pt"/>
                    </v:group>
                  </w:pict>
                </mc:Fallback>
              </mc:AlternateContent>
            </w:r>
          </w:p>
        </w:tc>
        <w:tc>
          <w:tcPr>
            <w:tcW w:w="8935" w:type="dxa"/>
            <w:gridSpan w:val="3"/>
          </w:tcPr>
          <w:p w:rsidR="00D208B3" w:rsidP="00253333" w14:paraId="6CE51531" w14:textId="1C395EAE">
            <w:pPr>
              <w:ind w:left="604"/>
              <w:rPr>
                <w:rFonts w:ascii="Calibri" w:eastAsia="Calibri" w:hAnsi="Calibri" w:cs="Calibri"/>
                <w:b/>
                <w:bCs/>
                <w:spacing w:val="-6"/>
                <w:position w:val="1"/>
                <w:sz w:val="24"/>
                <w:lang w:val="en-GB"/>
              </w:rPr>
            </w:pPr>
          </w:p>
          <w:p w:rsidR="00D208B3" w:rsidP="00D208B3" w14:paraId="4868A3F3" w14:textId="0DE031D9">
            <w:pPr>
              <w:ind w:left="1174"/>
              <w:rPr>
                <w:rFonts w:ascii="Calibri" w:eastAsia="Calibri" w:hAnsi="Calibri" w:cs="Calibri"/>
                <w:b/>
                <w:bCs/>
                <w:spacing w:val="-6"/>
                <w:position w:val="1"/>
                <w:sz w:val="24"/>
                <w:lang w:val="en-GB"/>
              </w:rPr>
            </w:pPr>
            <w:r w:rsidRPr="00536F4C">
              <w:rPr>
                <w:rFonts w:ascii="Calibri" w:eastAsia="Calibri" w:hAnsi="Calibri" w:cs="Calibri"/>
                <w:b/>
                <w:bCs/>
                <w:spacing w:val="-6"/>
                <w:position w:val="1"/>
                <w:sz w:val="24"/>
                <w:lang w:val="en-GB"/>
              </w:rPr>
              <w:t xml:space="preserve">What environmental and/or social characteristics are promoted by this financial product? </w:t>
            </w:r>
            <w:r>
              <w:rPr>
                <w:rFonts w:ascii="Calibri" w:eastAsia="Calibri" w:hAnsi="Calibri" w:cs="Calibri"/>
                <w:b/>
                <w:bCs/>
                <w:spacing w:val="-6"/>
                <w:position w:val="1"/>
                <w:sz w:val="24"/>
                <w:lang w:val="en-GB"/>
              </w:rPr>
              <w:t xml:space="preserve"> </w:t>
            </w:r>
          </w:p>
          <w:p w:rsidR="00D208B3" w:rsidP="00253333" w14:paraId="01E1B2D8" w14:textId="77777777">
            <w:pPr>
              <w:ind w:left="604"/>
              <w:rPr>
                <w:rFonts w:ascii="Calibri" w:eastAsia="Calibri" w:hAnsi="Calibri" w:cs="Calibri"/>
                <w:b/>
                <w:bCs/>
                <w:spacing w:val="-6"/>
                <w:position w:val="1"/>
                <w:sz w:val="24"/>
                <w:lang w:val="en-GB"/>
              </w:rPr>
            </w:pPr>
          </w:p>
          <w:p w:rsidR="00D208B3" w:rsidRPr="00E1216E" w:rsidP="00253333" w14:paraId="5C87BCC0" w14:textId="4A96BBCB">
            <w:pPr>
              <w:ind w:left="604"/>
              <w:rPr>
                <w:rFonts w:ascii="Calibri" w:hAnsi="Calibri" w:cs="Calibri"/>
                <w:sz w:val="22"/>
                <w:szCs w:val="22"/>
                <w:lang w:val="fr-FR"/>
              </w:rPr>
            </w:pPr>
            <w:r w:rsidRPr="00E1216E">
              <w:rPr>
                <w:rFonts w:ascii="Calibri" w:hAnsi="Calibri" w:cs="Calibri"/>
                <w:sz w:val="22"/>
                <w:szCs w:val="22"/>
              </w:rPr>
              <w:t xml:space="preserve">The Sub-Fund promotes environmental and/or social characteristics through among others, replicating an Index integrating an environmental, social and governance (“ESG”) rating. </w:t>
              <w:cr/>
              <w:t>
</w:t>
              <w:cr/>
              <w:t xml:space="preserve">
The Index methodology is constructed using a “Best-in-class approach”: best ranked companies are selected to construct the Index. </w:t>
              <w:cr/>
              <w:t>
</w:t>
              <w:cr/>
              <w:t>
“Best-in-class” is an approach where leading or best-performing investments are selected within a universe, industry sector or class. Using such Best-in-class approach, the Index follows an extra-financial approach significantly engaging that permits the reduction by at least 20% of the initial investment universe (expressed in number of issuers).</w:t>
              <w:cr/>
            </w:r>
          </w:p>
          <w:p w:rsidR="00D208B3" w:rsidRPr="00536F4C" w:rsidP="007D1F61" w14:paraId="42B4FDBC" w14:textId="77777777">
            <w:pPr>
              <w:rPr>
                <w:lang w:val="en-GB"/>
              </w:rPr>
            </w:pPr>
          </w:p>
        </w:tc>
      </w:tr>
      <w:tr w14:paraId="0BB98719" w14:textId="77777777" w:rsidTr="00CB1CE2">
        <w:tblPrEx>
          <w:tblW w:w="11204" w:type="dxa"/>
          <w:tblInd w:w="-714" w:type="dxa"/>
          <w:tblLayout w:type="fixed"/>
          <w:tblLook w:val="04A0"/>
        </w:tblPrEx>
        <w:trPr>
          <w:trHeight w:val="709"/>
        </w:trPr>
        <w:tc>
          <w:tcPr>
            <w:tcW w:w="1985" w:type="dxa"/>
          </w:tcPr>
          <w:p w:rsidR="00824AE5" w:rsidRPr="00536F4C" w:rsidP="007D1F61" w14:paraId="7932F6C6" w14:textId="0BD661EA">
            <w:pPr>
              <w:rPr>
                <w:rFonts w:ascii="Calibri" w:eastAsia="Calibri" w:hAnsi="Calibri" w:cs="Calibri"/>
                <w:b/>
                <w:bCs/>
                <w:noProof/>
                <w:lang w:val="en-GB" w:eastAsia="en-GB"/>
              </w:rPr>
            </w:pPr>
          </w:p>
        </w:tc>
        <w:tc>
          <w:tcPr>
            <w:tcW w:w="284" w:type="dxa"/>
          </w:tcPr>
          <w:p w:rsidR="00824AE5" w:rsidRPr="00536F4C" w:rsidP="007D1F61" w14:paraId="333204E3" w14:textId="77777777">
            <w:pPr>
              <w:rPr>
                <w:lang w:val="en-GB"/>
              </w:rPr>
            </w:pPr>
          </w:p>
        </w:tc>
        <w:tc>
          <w:tcPr>
            <w:tcW w:w="8935" w:type="dxa"/>
            <w:gridSpan w:val="3"/>
          </w:tcPr>
          <w:p w:rsidR="00BF790D" w:rsidRPr="00547130" w:rsidP="00CB1CE2" w14:paraId="20F25527" w14:textId="0781618C">
            <w:pPr>
              <w:rPr>
                <w:rFonts w:ascii="Calibri" w:eastAsia="Calibri" w:hAnsi="Calibri" w:cs="Calibri"/>
                <w:spacing w:val="-6"/>
                <w:position w:val="1"/>
                <w:sz w:val="22"/>
                <w:szCs w:val="22"/>
                <w:lang w:val="en-GB"/>
              </w:rPr>
            </w:pPr>
          </w:p>
        </w:tc>
      </w:tr>
      <w:tr w14:paraId="3586A262" w14:textId="77777777" w:rsidTr="00446B74">
        <w:tblPrEx>
          <w:tblW w:w="11204" w:type="dxa"/>
          <w:tblInd w:w="-714" w:type="dxa"/>
          <w:tblLayout w:type="fixed"/>
          <w:tblLook w:val="04A0"/>
        </w:tblPrEx>
        <w:trPr>
          <w:trHeight w:val="837"/>
        </w:trPr>
        <w:tc>
          <w:tcPr>
            <w:tcW w:w="1985" w:type="dxa"/>
            <w:shd w:val="clear" w:color="auto" w:fill="F2F2F2" w:themeFill="background1" w:themeFillShade="F2"/>
          </w:tcPr>
          <w:p w:rsidR="007B186B" w:rsidRPr="00BF790D" w:rsidP="007D1F61" w14:paraId="498C1A0D" w14:textId="32019394">
            <w:pPr>
              <w:rPr>
                <w:rFonts w:ascii="Calibri" w:eastAsia="Calibri" w:hAnsi="Calibri" w:cs="Calibri"/>
                <w:b/>
                <w:bCs/>
                <w:noProof/>
                <w:lang w:val="en-US" w:eastAsia="en-GB"/>
              </w:rPr>
            </w:pPr>
            <w:r w:rsidRPr="00BF790D">
              <w:rPr>
                <w:b/>
                <w:bCs/>
                <w:lang w:val="en-US"/>
              </w:rPr>
              <w:t xml:space="preserve">Sustainability indicators </w:t>
            </w:r>
            <w:r w:rsidRPr="00BF790D">
              <w:rPr>
                <w:lang w:val="en-US"/>
              </w:rPr>
              <w:t>measure how the environmental or social characteristics promoted by the financial product are attained.</w:t>
            </w:r>
          </w:p>
        </w:tc>
        <w:tc>
          <w:tcPr>
            <w:tcW w:w="284" w:type="dxa"/>
          </w:tcPr>
          <w:p w:rsidR="007B186B" w:rsidRPr="00536F4C" w:rsidP="007D1F61" w14:paraId="1ED0308D" w14:textId="77777777">
            <w:pPr>
              <w:rPr>
                <w:lang w:val="en-GB"/>
              </w:rPr>
            </w:pPr>
          </w:p>
        </w:tc>
        <w:tc>
          <w:tcPr>
            <w:tcW w:w="8935" w:type="dxa"/>
            <w:gridSpan w:val="3"/>
            <w:shd w:val="clear" w:color="auto" w:fill="auto"/>
          </w:tcPr>
          <w:p w:rsidR="00980E4B" w:rsidRPr="00980E4B" w:rsidP="00963929" w14:paraId="1C788D82" w14:textId="77777777">
            <w:pPr>
              <w:pStyle w:val="ListParagraph"/>
              <w:numPr>
                <w:ilvl w:val="1"/>
                <w:numId w:val="3"/>
              </w:numPr>
              <w:tabs>
                <w:tab w:val="num" w:pos="321"/>
                <w:tab w:val="clear" w:pos="360"/>
                <w:tab w:val="num" w:pos="1560"/>
              </w:tabs>
              <w:spacing w:after="0"/>
              <w:ind w:left="321" w:hanging="284"/>
              <w:jc w:val="both"/>
              <w:rPr>
                <w:noProof/>
                <w:sz w:val="20"/>
                <w:szCs w:val="20"/>
                <w:lang w:val="en-GB" w:eastAsia="fr-LU"/>
              </w:rPr>
            </w:pPr>
            <w:r w:rsidRPr="00980E4B">
              <w:rPr>
                <w:b/>
                <w:i/>
                <w:noProof/>
                <w:lang w:val="en-GB" w:eastAsia="fr-LU"/>
              </w:rPr>
              <w:t>What sustainability indicators are used to measure the attainment of each of the environmental or social characteristics promoted by this financial product?</w:t>
            </w:r>
          </w:p>
          <w:p w:rsidR="00980E4B" w:rsidP="00980E4B" w14:paraId="4B242DC9" w14:textId="77777777">
            <w:pPr>
              <w:pStyle w:val="ListParagraph"/>
              <w:tabs>
                <w:tab w:val="num" w:pos="1560"/>
              </w:tabs>
              <w:spacing w:after="0"/>
              <w:ind w:left="321"/>
              <w:jc w:val="both"/>
              <w:rPr>
                <w:b/>
                <w:i/>
                <w:noProof/>
                <w:lang w:val="en-GB" w:eastAsia="fr-LU"/>
              </w:rPr>
            </w:pPr>
          </w:p>
          <w:p w:rsidR="00253333" w:rsidRPr="00980E4B" w:rsidP="00980E4B" w14:paraId="03716AF8" w14:textId="57D96C7F">
            <w:pPr>
              <w:pStyle w:val="ListParagraph"/>
              <w:tabs>
                <w:tab w:val="num" w:pos="1560"/>
              </w:tabs>
              <w:spacing w:after="0"/>
              <w:ind w:left="321"/>
              <w:jc w:val="both"/>
              <w:rPr>
                <w:noProof/>
                <w:sz w:val="20"/>
                <w:szCs w:val="20"/>
                <w:lang w:val="en-GB" w:eastAsia="fr-LU"/>
              </w:rPr>
            </w:pPr>
            <w:r w:rsidRPr="00980E4B">
              <w:rPr>
                <w:noProof/>
                <w:sz w:val="20"/>
                <w:szCs w:val="20"/>
                <w:lang w:val="en-GB" w:eastAsia="fr-LU"/>
              </w:rPr>
              <w:t>The ISS ESG Corporate Rating is used to measure the attainment of each of the environmental and or social characteristic promoted by this financial product.</w:t>
              <w:cr/>
              <w:t>
</w:t>
              <w:cr/>
              <w:t>
The ISS ESG Corporate Rating provides relevant and forward-looking environmental, social, and governance (ESG) data and performance assessments. Rooted in a holistic understanding of materiality, companies are assessed against a standard set of universal ESG topics as well as additional industry-specific topics. The materiality approach covers both material sustainability risks as well as adverse impacts on society and the environment. Drawing on an overall pool of more than 700 indicators, ISS ESG applies approximately 100 social, environmental, and governance-related indicators per rated entity, covering topics such as employee matters, supply chain management, business ethics, corporate governance, environmental management, eco-efficiency, and others.</w:t>
              <w:cr/>
              <w:t>
</w:t>
              <w:cr/>
              <w:t>
Differentiated weighting scenarios ensure that the topics most material for a given line of business/industry are duly taken into account. “Prime” status is granted to rated entities that are leaders in their respective industries and who meet demanding absolute performance expectations and are thus seen as well-positioned to manage critical ESG risks as well as capitalize on opportunities offered by transformations towards sustainable development.</w:t>
              <w:cr/>
              <w:t>
</w:t>
              <w:cr/>
              <w:t>
The ESG Corporate Rating framework recognizes that environmental, social, and governance risks and impact differ by industry. The extent of industry-specific E, S, and G risks and impact defines the respective performance requirements, the distribution of weights between these rating dimensions, as well as the Prime threshold per sector. Companies in high risk and impact sectors such as oil and gas, for example, must demonstrate better performance in terms of their overall rating grade than those in low-risk sectors such as real estate to obtain the ISS ESG Prime status.</w:t>
              <w:cr/>
              <w:t>
</w:t>
              <w:cr/>
              <w:t>
More detailed on  ISS ESG Corporate Rating can be found on the following link:</w:t>
              <w:cr/>
              <w:t>
https://www.issgovernance.com/file/publications/methodology/Corporate-Rating-Methodology.pdf</w:t>
              <w:cr/>
              <w:t>
</w:t>
              <w:cr/>
              <w:t>
More precisely, STOXX EUROPE 600 ESG+ index is an equity index based on Stoxx Europe 600 - representing the 600 leading securities of European developed countries (the "Parent Index") that applies a set of sector exclusion and ESG performance screen for security eligibility and targets a total selection of 80% of the number of securities from the Parent Index.</w:t>
              <w:cr/>
              <w:t>
</w:t>
              <w:cr/>
              <w:t>
The applicable universe consists of the companies included in the Parent Index.</w:t>
              <w:cr/>
              <w:t>
Then the following filters are applied:</w:t>
              <w:cr/>
              <w:t>
- Companies that are non-compliant based on the ISS-ESG Norms - Based Screening assessment are excluded. Norms - Based Screening identifies companies that violate or are at risk of violating commonly accepted international norms on human rights, labor standards, environmental protection and anti-corruption established in the UN Global Compact Principles and the OECD Guidelines.</w:t>
              <w:cr/>
              <w:t>
- Companies that ISS-ESG identifies to be involved in controversial activities such as controversial weapons , tobacco, thermal coal, unconventional oil &amp; gas, civilian firearms, and military contracting are not eligible for selection.</w:t>
              <w:cr/>
              <w:t>
</w:t>
              <w:cr/>
              <w:t>
The remaining securities in the selection list are allocated to the 11 ICB Industry groups according to their ICB classifications.</w:t>
              <w:cr/>
              <w:t>
</w:t>
              <w:cr/>
              <w:t>
The STOXX EUROPE 600 ESG+ index targets a total selection of 80% of the number of securities from the Parent Index. The selection is applied across all industry groups, selecting the highest scores and preserving the 80% selection ratio within each of the industry groups.</w:t>
              <w:cr/>
              <w:t>
</w:t>
              <w:cr/>
              <w:t>
The eligible securities in the selection list are ranked in descending order of their ISS ESG Corporate Rating within the 11 ICB Industry groups. In the event that two companies for a given industry group have the same  ISS ESG Corporate Rating, priority is given to the company with the highest free float market capitalization.</w:t>
              <w:cr/>
              <w:t>
</w:t>
              <w:cr/>
              <w:t>
Each Index component is then weighted according to the free float-adjusted market capitalization with a 10% cap.</w:t>
              <w:cr/>
              <w:t>
</w:t>
              <w:cr/>
              <w:t>
For more information on controversial activities and screen, on ICB Classification system, please refer to the Index methodology available on stoxx.com.</w:t>
              <w:cr/>
            </w:r>
          </w:p>
          <w:p w:rsidR="007B186B" w:rsidRPr="00536F4C" w:rsidP="007D1F61" w14:paraId="33E3642B" w14:textId="77777777">
            <w:pPr>
              <w:rPr>
                <w:rFonts w:ascii="Calibri" w:eastAsia="Calibri" w:hAnsi="Calibri" w:cs="Calibri"/>
                <w:b/>
                <w:bCs/>
                <w:spacing w:val="-6"/>
                <w:position w:val="1"/>
                <w:sz w:val="24"/>
                <w:lang w:val="en-GB"/>
              </w:rPr>
            </w:pPr>
          </w:p>
        </w:tc>
      </w:tr>
      <w:tr w14:paraId="1FDA1314" w14:textId="77777777" w:rsidTr="00446B74">
        <w:tblPrEx>
          <w:tblW w:w="11204" w:type="dxa"/>
          <w:tblInd w:w="-714" w:type="dxa"/>
          <w:tblLayout w:type="fixed"/>
          <w:tblLook w:val="04A0"/>
        </w:tblPrEx>
        <w:trPr>
          <w:trHeight w:val="841"/>
        </w:trPr>
        <w:tc>
          <w:tcPr>
            <w:tcW w:w="1985" w:type="dxa"/>
          </w:tcPr>
          <w:p w:rsidR="007B186B" w:rsidRPr="00536F4C" w:rsidP="007D1F61" w14:paraId="5DF489E8" w14:textId="05B5133B">
            <w:pPr>
              <w:rPr>
                <w:rFonts w:ascii="Calibri" w:eastAsia="Calibri" w:hAnsi="Calibri" w:cs="Calibri"/>
                <w:b/>
                <w:bCs/>
                <w:noProof/>
                <w:lang w:val="en-GB" w:eastAsia="en-GB"/>
              </w:rPr>
            </w:pPr>
          </w:p>
        </w:tc>
        <w:tc>
          <w:tcPr>
            <w:tcW w:w="284" w:type="dxa"/>
          </w:tcPr>
          <w:p w:rsidR="007B186B" w:rsidRPr="00536F4C" w:rsidP="007D1F61" w14:paraId="095B7ABA" w14:textId="77777777">
            <w:pPr>
              <w:rPr>
                <w:lang w:val="en-GB"/>
              </w:rPr>
            </w:pPr>
          </w:p>
        </w:tc>
        <w:tc>
          <w:tcPr>
            <w:tcW w:w="8935" w:type="dxa"/>
            <w:gridSpan w:val="3"/>
          </w:tcPr>
          <w:p w:rsidR="007B186B" w:rsidRPr="00536F4C" w:rsidP="00980E4B" w14:paraId="66888EC5" w14:textId="6F87F5FD">
            <w:pPr>
              <w:pStyle w:val="ListParagraph"/>
              <w:numPr>
                <w:ilvl w:val="1"/>
                <w:numId w:val="3"/>
              </w:numPr>
              <w:tabs>
                <w:tab w:val="num" w:pos="1560"/>
              </w:tabs>
              <w:spacing w:after="0"/>
              <w:ind w:left="321" w:hanging="284"/>
              <w:jc w:val="both"/>
              <w:rPr>
                <w:lang w:val="en-GB"/>
              </w:rPr>
            </w:pPr>
            <w:r w:rsidRPr="00536F4C">
              <w:rPr>
                <w:b/>
                <w:i/>
                <w:noProof/>
                <w:lang w:val="en-GB" w:eastAsia="fr-LU"/>
              </w:rPr>
              <w:t>What are the objectives of the sustainable investments that the financial product partially intends to make and how does the sustainable investment contribute to such objectiv</w:t>
            </w:r>
            <w:r w:rsidR="004B6385">
              <w:rPr>
                <w:b/>
                <w:i/>
                <w:noProof/>
                <w:lang w:val="en-GB" w:eastAsia="fr-LU"/>
              </w:rPr>
              <w:t>e</w:t>
            </w:r>
            <w:r w:rsidRPr="00536F4C">
              <w:rPr>
                <w:b/>
                <w:i/>
                <w:noProof/>
                <w:lang w:val="en-GB" w:eastAsia="fr-LU"/>
              </w:rPr>
              <w:t>s?</w:t>
            </w:r>
          </w:p>
        </w:tc>
      </w:tr>
      <w:tr w14:paraId="487E1191" w14:textId="77777777" w:rsidTr="00446B74">
        <w:tblPrEx>
          <w:tblW w:w="11204" w:type="dxa"/>
          <w:tblInd w:w="-714" w:type="dxa"/>
          <w:tblLayout w:type="fixed"/>
          <w:tblLook w:val="04A0"/>
        </w:tblPrEx>
        <w:trPr>
          <w:trHeight w:val="1654"/>
        </w:trPr>
        <w:tc>
          <w:tcPr>
            <w:tcW w:w="1985" w:type="dxa"/>
          </w:tcPr>
          <w:p w:rsidR="007B186B" w:rsidRPr="00536F4C" w:rsidP="007D1F61" w14:paraId="73E18422" w14:textId="3AB6CC8B">
            <w:pPr>
              <w:rPr>
                <w:rFonts w:ascii="Calibri" w:eastAsia="Calibri" w:hAnsi="Calibri" w:cs="Calibri"/>
                <w:b/>
                <w:bCs/>
                <w:noProof/>
                <w:lang w:val="en-GB" w:eastAsia="en-GB"/>
              </w:rPr>
            </w:pPr>
          </w:p>
        </w:tc>
        <w:tc>
          <w:tcPr>
            <w:tcW w:w="284" w:type="dxa"/>
          </w:tcPr>
          <w:p w:rsidR="007B186B" w:rsidRPr="00536F4C" w:rsidP="007D1F61" w14:paraId="2D9701FE" w14:textId="77777777">
            <w:pPr>
              <w:rPr>
                <w:lang w:val="en-GB"/>
              </w:rPr>
            </w:pPr>
          </w:p>
        </w:tc>
        <w:tc>
          <w:tcPr>
            <w:tcW w:w="8935" w:type="dxa"/>
            <w:gridSpan w:val="3"/>
          </w:tcPr>
          <w:p w:rsidR="00980E4B" w:rsidP="00980E4B" w14:paraId="207E9271" w14:textId="77777777">
            <w:pPr>
              <w:pStyle w:val="ListParagraph"/>
              <w:tabs>
                <w:tab w:val="num" w:pos="1560"/>
              </w:tabs>
              <w:spacing w:after="0"/>
              <w:ind w:left="321"/>
              <w:jc w:val="both"/>
              <w:rPr>
                <w:b/>
                <w:i/>
                <w:noProof/>
                <w:lang w:val="en-GB" w:eastAsia="fr-LU"/>
              </w:rPr>
            </w:pPr>
          </w:p>
          <w:p w:rsidR="00980E4B" w:rsidRPr="00980E4B" w:rsidP="00980E4B" w14:paraId="32C4C2EE" w14:textId="4ECA816A">
            <w:pPr>
              <w:pStyle w:val="ListParagraph"/>
              <w:tabs>
                <w:tab w:val="num" w:pos="1560"/>
              </w:tabs>
              <w:spacing w:after="0"/>
              <w:ind w:left="321"/>
              <w:jc w:val="both"/>
              <w:rPr>
                <w:noProof/>
                <w:sz w:val="20"/>
                <w:szCs w:val="20"/>
                <w:lang w:val="en-GB" w:eastAsia="fr-LU"/>
              </w:rPr>
            </w:pPr>
            <w:r w:rsidRPr="00980E4B">
              <w:rPr>
                <w:noProof/>
                <w:sz w:val="20"/>
                <w:szCs w:val="20"/>
                <w:lang w:val="en-GB" w:eastAsia="fr-LU"/>
              </w:rPr>
              <w:t xml:space="preserve">The objectives of the sustainable investments are to invest in investee companies that seek to meet two criteria: </w:t>
              <w:cr/>
              <w:t>
</w:t>
              <w:cr/>
              <w:t xml:space="preserve">
1) follow best environmental and social practices; and </w:t>
              <w:cr/>
              <w:t>
</w:t>
              <w:cr/>
              <w:t>
2) avoid making products or providing services that harm the environment and society.</w:t>
              <w:cr/>
              <w:t>
</w:t>
              <w:cr/>
              <w:t xml:space="preserve">
In order for the investee company to be deemed to contribute to the above objective it must be a “best performer” within its sector of activity on at least one of its material environmental or social factors. </w:t>
              <w:cr/>
              <w:t>
</w:t>
              <w:cr/>
              <w:t>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of sectors and factors, please refer to the Amundi ESG Regulatory Statement available at www.amundi.lu</w:t>
              <w:cr/>
              <w:t>
</w:t>
              <w:cr/>
              <w:t>
To contribute to the above objectives, the investee company should not have significant exposure to activities (e.g. tobacco, weapons, gambling, coal, aviation, meat production, fertilizer and pesticide manufacturing, single-use plastic production) not compatible with such criteria.</w:t>
              <w:cr/>
              <w:t>
</w:t>
              <w:cr/>
              <w:t>
The sustainable nature of an investment is assessed at investee company level.</w:t>
              <w:cr/>
              <w:t>
</w:t>
              <w:cr/>
              <w:t xml:space="preserve">
By applying the Amundi’s above described Sustainable Investment definition to the Index constituents of this passively managed ETF Product, Amundi has determined that this Product has the minimum proportion of sustainable investments stated in page 1 above. However, please note that Amundi Sustainable Investment definition is not implemented at the Index methodology level. </w:t>
              <w:cr/>
            </w:r>
          </w:p>
          <w:p w:rsidR="00253333" w:rsidRPr="00980E4B" w:rsidP="007D1F61" w14:paraId="0CE1AB87" w14:textId="4682BC4C">
            <w:pPr>
              <w:rPr>
                <w:rFonts w:ascii="Calibri" w:hAnsi="Calibri" w:cs="Calibri"/>
                <w:lang w:val="en-GB"/>
              </w:rPr>
            </w:pPr>
          </w:p>
        </w:tc>
      </w:tr>
      <w:tr w14:paraId="5186084A" w14:textId="77777777" w:rsidTr="00446B74">
        <w:tblPrEx>
          <w:tblW w:w="11204" w:type="dxa"/>
          <w:tblInd w:w="-714" w:type="dxa"/>
          <w:tblLayout w:type="fixed"/>
          <w:tblLook w:val="04A0"/>
        </w:tblPrEx>
        <w:trPr>
          <w:trHeight w:val="890"/>
        </w:trPr>
        <w:tc>
          <w:tcPr>
            <w:tcW w:w="1985" w:type="dxa"/>
            <w:vMerge w:val="restart"/>
            <w:shd w:val="clear" w:color="auto" w:fill="F2F2F2" w:themeFill="background1" w:themeFillShade="F2"/>
          </w:tcPr>
          <w:p w:rsidR="007B186B" w:rsidRPr="00446B74" w:rsidP="00446B74" w14:paraId="46F44215" w14:textId="1D04A87C">
            <w:pPr>
              <w:jc w:val="left"/>
              <w:rPr>
                <w:rFonts w:ascii="Calibri" w:eastAsia="Calibri" w:hAnsi="Calibri" w:cs="Calibri"/>
                <w:b/>
                <w:bCs/>
                <w:noProof/>
                <w:lang w:val="en-US" w:eastAsia="en-GB"/>
              </w:rPr>
            </w:pPr>
            <w:r w:rsidRPr="00446B74">
              <w:rPr>
                <w:b/>
                <w:bCs/>
                <w:lang w:val="en-US"/>
              </w:rPr>
              <w:t xml:space="preserve">Principal adverse impacts </w:t>
            </w:r>
            <w:r w:rsidRPr="00446B74">
              <w:rPr>
                <w:lang w:val="en-US"/>
              </w:rPr>
              <w:t>are the most significant negative impacts of investment decisions on sustainability factors relating to environmental, social and employee matters, respect for human rights, anti</w:t>
            </w:r>
            <w:r w:rsidRPr="00446B74">
              <w:rPr>
                <w:rFonts w:ascii="Cambria Math" w:hAnsi="Cambria Math" w:cs="Cambria Math"/>
                <w:lang w:val="en-US"/>
              </w:rPr>
              <w:t>‐</w:t>
            </w:r>
            <w:r w:rsidRPr="00446B74">
              <w:rPr>
                <w:lang w:val="en-US"/>
              </w:rPr>
              <w:t>corruption and anti</w:t>
            </w:r>
            <w:r w:rsidRPr="00446B74">
              <w:rPr>
                <w:rFonts w:ascii="Cambria Math" w:hAnsi="Cambria Math" w:cs="Cambria Math"/>
                <w:lang w:val="en-US"/>
              </w:rPr>
              <w:t>‐</w:t>
            </w:r>
            <w:r w:rsidRPr="00446B74">
              <w:rPr>
                <w:lang w:val="en-US"/>
              </w:rPr>
              <w:t>bribery matters.</w:t>
            </w:r>
          </w:p>
        </w:tc>
        <w:tc>
          <w:tcPr>
            <w:tcW w:w="284" w:type="dxa"/>
            <w:vMerge w:val="restart"/>
          </w:tcPr>
          <w:p w:rsidR="007B186B" w:rsidRPr="00536F4C" w:rsidP="007D1F61" w14:paraId="2397F294" w14:textId="77777777">
            <w:pPr>
              <w:rPr>
                <w:lang w:val="en-GB"/>
              </w:rPr>
            </w:pPr>
          </w:p>
        </w:tc>
        <w:tc>
          <w:tcPr>
            <w:tcW w:w="8935" w:type="dxa"/>
            <w:gridSpan w:val="3"/>
          </w:tcPr>
          <w:p w:rsidR="007B186B" w:rsidRPr="00536F4C" w:rsidP="007D1F61" w14:paraId="528EF627" w14:textId="0777544E">
            <w:pPr>
              <w:pStyle w:val="ListParagraph"/>
              <w:numPr>
                <w:ilvl w:val="1"/>
                <w:numId w:val="3"/>
              </w:numPr>
              <w:tabs>
                <w:tab w:val="num" w:pos="1560"/>
              </w:tabs>
              <w:spacing w:after="0"/>
              <w:ind w:left="321" w:hanging="284"/>
              <w:jc w:val="both"/>
              <w:rPr>
                <w:b/>
                <w:i/>
                <w:color w:val="C00000"/>
                <w:sz w:val="18"/>
                <w:lang w:val="en-GB"/>
              </w:rPr>
            </w:pPr>
            <w:r w:rsidRPr="00536F4C">
              <w:rPr>
                <w:b/>
                <w:i/>
                <w:noProof/>
                <w:lang w:val="en-GB" w:eastAsia="fr-LU"/>
              </w:rPr>
              <w:t>How do the sustainable investments that the financial product partially intends to make, not cause significant harm to any environmental or social sustainable investment objective?</w:t>
            </w:r>
            <w:r w:rsidRPr="00536F4C">
              <w:rPr>
                <w:lang w:val="en-GB"/>
              </w:rPr>
              <w:t xml:space="preserve"> </w:t>
            </w:r>
          </w:p>
        </w:tc>
      </w:tr>
      <w:tr w14:paraId="63E6DE45" w14:textId="77777777" w:rsidTr="00446B74">
        <w:tblPrEx>
          <w:tblW w:w="11204" w:type="dxa"/>
          <w:tblInd w:w="-714" w:type="dxa"/>
          <w:tblLayout w:type="fixed"/>
          <w:tblLook w:val="04A0"/>
        </w:tblPrEx>
        <w:trPr>
          <w:trHeight w:val="1065"/>
        </w:trPr>
        <w:tc>
          <w:tcPr>
            <w:tcW w:w="1985" w:type="dxa"/>
            <w:vMerge/>
            <w:shd w:val="clear" w:color="auto" w:fill="F2F2F2" w:themeFill="background1" w:themeFillShade="F2"/>
          </w:tcPr>
          <w:p w:rsidR="007B186B" w:rsidRPr="00536F4C" w:rsidP="007D1F61" w14:paraId="1D7AF357" w14:textId="77777777">
            <w:pPr>
              <w:rPr>
                <w:rFonts w:ascii="Calibri" w:eastAsia="Calibri" w:hAnsi="Calibri" w:cs="Calibri"/>
                <w:b/>
                <w:bCs/>
                <w:noProof/>
                <w:lang w:val="en-GB" w:eastAsia="en-GB"/>
              </w:rPr>
            </w:pPr>
          </w:p>
        </w:tc>
        <w:tc>
          <w:tcPr>
            <w:tcW w:w="284" w:type="dxa"/>
            <w:vMerge/>
          </w:tcPr>
          <w:p w:rsidR="007B186B" w:rsidRPr="00536F4C" w:rsidP="007D1F61" w14:paraId="10D609A1" w14:textId="77777777">
            <w:pPr>
              <w:rPr>
                <w:lang w:val="en-GB"/>
              </w:rPr>
            </w:pPr>
          </w:p>
        </w:tc>
        <w:tc>
          <w:tcPr>
            <w:tcW w:w="8935" w:type="dxa"/>
            <w:gridSpan w:val="3"/>
          </w:tcPr>
          <w:p w:rsidR="00775CB7" w:rsidP="00775CB7" w14:paraId="1248F9CC" w14:textId="77777777">
            <w:pPr>
              <w:pStyle w:val="ListParagraph"/>
              <w:tabs>
                <w:tab w:val="num" w:pos="1560"/>
              </w:tabs>
              <w:spacing w:after="0"/>
              <w:ind w:left="321"/>
              <w:jc w:val="both"/>
              <w:rPr>
                <w:b/>
                <w:i/>
                <w:noProof/>
                <w:lang w:val="en-GB" w:eastAsia="fr-LU"/>
              </w:rPr>
            </w:pPr>
          </w:p>
          <w:p w:rsidR="00775CB7" w:rsidRPr="00980E4B" w:rsidP="00775CB7" w14:paraId="14A3C4C7" w14:textId="3C365CBB">
            <w:pPr>
              <w:pStyle w:val="ListParagraph"/>
              <w:tabs>
                <w:tab w:val="num" w:pos="1560"/>
              </w:tabs>
              <w:spacing w:after="0"/>
              <w:ind w:left="321"/>
              <w:jc w:val="both"/>
              <w:rPr>
                <w:noProof/>
                <w:sz w:val="20"/>
                <w:szCs w:val="20"/>
                <w:lang w:val="en-GB" w:eastAsia="fr-LU"/>
              </w:rPr>
            </w:pPr>
            <w:r>
              <w:rPr>
                <w:noProof/>
                <w:sz w:val="20"/>
                <w:szCs w:val="20"/>
                <w:lang w:val="en-GB" w:eastAsia="fr-LU"/>
              </w:rPr>
              <w:t>To ensure sustainable investments do no significant harm (‘DNSH’), Amundi utilises two filters:</w:t>
              <w:cr/>
              <w:t>
</w:t>
              <w:cr/>
              <w:t>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cr/>
            </w:r>
          </w:p>
          <w:p w:rsidR="00253333" w:rsidRPr="00547130" w:rsidP="007D1F61" w14:paraId="7E3C21BA" w14:textId="252F1153">
            <w:pPr>
              <w:tabs>
                <w:tab w:val="num" w:pos="1560"/>
              </w:tabs>
              <w:rPr>
                <w:rFonts w:ascii="Calibri" w:hAnsi="Calibri" w:cs="Calibri"/>
                <w:bCs/>
                <w:iCs/>
                <w:noProof/>
                <w:sz w:val="22"/>
                <w:szCs w:val="22"/>
                <w:lang w:val="en-GB" w:eastAsia="fr-LU"/>
              </w:rPr>
            </w:pPr>
          </w:p>
        </w:tc>
      </w:tr>
      <w:tr w14:paraId="44A3D01F" w14:textId="77777777" w:rsidTr="00446B74">
        <w:tblPrEx>
          <w:tblW w:w="11204" w:type="dxa"/>
          <w:tblInd w:w="-714" w:type="dxa"/>
          <w:tblLayout w:type="fixed"/>
          <w:tblLook w:val="04A0"/>
        </w:tblPrEx>
        <w:trPr>
          <w:trHeight w:val="362"/>
        </w:trPr>
        <w:tc>
          <w:tcPr>
            <w:tcW w:w="1985" w:type="dxa"/>
            <w:vMerge/>
            <w:shd w:val="clear" w:color="auto" w:fill="F2F2F2" w:themeFill="background1" w:themeFillShade="F2"/>
          </w:tcPr>
          <w:p w:rsidR="007B186B" w:rsidRPr="00536F4C" w:rsidP="007D1F61" w14:paraId="6788F0A2" w14:textId="77777777">
            <w:pPr>
              <w:rPr>
                <w:rFonts w:ascii="Calibri" w:eastAsia="Calibri" w:hAnsi="Calibri" w:cs="Calibri"/>
                <w:b/>
                <w:bCs/>
                <w:noProof/>
                <w:lang w:val="en-GB" w:eastAsia="en-GB"/>
              </w:rPr>
            </w:pPr>
          </w:p>
        </w:tc>
        <w:tc>
          <w:tcPr>
            <w:tcW w:w="284" w:type="dxa"/>
            <w:vMerge/>
          </w:tcPr>
          <w:p w:rsidR="007B186B" w:rsidRPr="00536F4C" w:rsidP="007D1F61" w14:paraId="0B8465C0" w14:textId="77777777">
            <w:pPr>
              <w:rPr>
                <w:lang w:val="en-GB"/>
              </w:rPr>
            </w:pPr>
          </w:p>
        </w:tc>
        <w:tc>
          <w:tcPr>
            <w:tcW w:w="8935" w:type="dxa"/>
            <w:gridSpan w:val="3"/>
          </w:tcPr>
          <w:p w:rsidR="007B186B" w:rsidP="007D1F61" w14:paraId="1F70F4C2" w14:textId="77777777">
            <w:pPr>
              <w:pStyle w:val="ListParagraph"/>
              <w:numPr>
                <w:ilvl w:val="3"/>
                <w:numId w:val="3"/>
              </w:numPr>
              <w:spacing w:after="0"/>
              <w:ind w:left="604" w:hanging="141"/>
              <w:jc w:val="both"/>
              <w:rPr>
                <w:i/>
                <w:lang w:val="en-GB"/>
              </w:rPr>
            </w:pPr>
            <w:r>
              <w:rPr>
                <w:i/>
                <w:lang w:val="en-GB"/>
              </w:rPr>
              <w:t xml:space="preserve"> </w:t>
            </w:r>
            <w:r w:rsidRPr="00536F4C">
              <w:rPr>
                <w:i/>
                <w:lang w:val="en-GB"/>
              </w:rPr>
              <w:t>How have the indicators for adverse impacts on sustainability factors been taken into account?</w:t>
            </w:r>
          </w:p>
          <w:p w:rsidR="00253333" w:rsidP="00253333" w14:paraId="50749903" w14:textId="77777777">
            <w:pPr>
              <w:pStyle w:val="ListParagraph"/>
              <w:spacing w:after="0"/>
              <w:ind w:left="604"/>
              <w:jc w:val="both"/>
              <w:rPr>
                <w:i/>
                <w:lang w:val="en-GB"/>
              </w:rPr>
            </w:pPr>
          </w:p>
          <w:p w:rsidR="00253333" w:rsidP="00253333" w14:paraId="7B4ECE86" w14:textId="77777777">
            <w:pPr>
              <w:pStyle w:val="ListParagraph"/>
              <w:spacing w:after="0"/>
              <w:ind w:left="604"/>
              <w:jc w:val="both"/>
              <w:rPr>
                <w:sz w:val="20"/>
                <w:szCs w:val="20"/>
                <w:lang w:val="en-GB"/>
              </w:rPr>
            </w:pPr>
            <w:r w:rsidRPr="00775CB7">
              <w:rPr>
                <w:sz w:val="20"/>
                <w:szCs w:val="20"/>
                <w:lang w:val="en-GB"/>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r>
          </w:p>
          <w:p w:rsidR="00D04CC4" w:rsidRPr="00775CB7" w:rsidP="00253333" w14:paraId="714023A1" w14:textId="5C6A7672">
            <w:pPr>
              <w:pStyle w:val="ListParagraph"/>
              <w:spacing w:after="0"/>
              <w:ind w:left="604"/>
              <w:jc w:val="both"/>
              <w:rPr>
                <w:sz w:val="20"/>
                <w:szCs w:val="20"/>
                <w:lang w:val="en-GB"/>
              </w:rPr>
            </w:pPr>
          </w:p>
        </w:tc>
      </w:tr>
      <w:tr w14:paraId="01653D2C" w14:textId="77777777" w:rsidTr="00446B74">
        <w:tblPrEx>
          <w:tblW w:w="11204" w:type="dxa"/>
          <w:tblInd w:w="-714" w:type="dxa"/>
          <w:tblLayout w:type="fixed"/>
          <w:tblLook w:val="04A0"/>
        </w:tblPrEx>
        <w:trPr>
          <w:trHeight w:val="247"/>
        </w:trPr>
        <w:tc>
          <w:tcPr>
            <w:tcW w:w="1985" w:type="dxa"/>
            <w:vMerge/>
            <w:shd w:val="clear" w:color="auto" w:fill="F2F2F2" w:themeFill="background1" w:themeFillShade="F2"/>
          </w:tcPr>
          <w:p w:rsidR="007B186B" w:rsidRPr="00536F4C" w:rsidP="007D1F61" w14:paraId="686CB802" w14:textId="77777777">
            <w:pPr>
              <w:rPr>
                <w:rFonts w:ascii="Calibri" w:eastAsia="Calibri" w:hAnsi="Calibri" w:cs="Calibri"/>
                <w:b/>
                <w:bCs/>
                <w:noProof/>
                <w:lang w:val="en-GB" w:eastAsia="en-GB"/>
              </w:rPr>
            </w:pPr>
          </w:p>
        </w:tc>
        <w:tc>
          <w:tcPr>
            <w:tcW w:w="284" w:type="dxa"/>
            <w:vMerge/>
          </w:tcPr>
          <w:p w:rsidR="007B186B" w:rsidRPr="00536F4C" w:rsidP="007D1F61" w14:paraId="2DDC0CA7" w14:textId="77777777">
            <w:pPr>
              <w:rPr>
                <w:lang w:val="en-GB"/>
              </w:rPr>
            </w:pPr>
          </w:p>
        </w:tc>
        <w:tc>
          <w:tcPr>
            <w:tcW w:w="8935" w:type="dxa"/>
            <w:gridSpan w:val="3"/>
          </w:tcPr>
          <w:p w:rsidR="007B186B" w:rsidRPr="00467162" w:rsidP="007D1F61" w14:paraId="6DDE3A08" w14:textId="77777777">
            <w:pPr>
              <w:rPr>
                <w:rFonts w:asciiTheme="minorHAnsi" w:hAnsiTheme="minorHAnsi" w:cstheme="minorHAnsi"/>
                <w:iCs/>
                <w:sz w:val="22"/>
                <w:szCs w:val="22"/>
                <w:lang w:val="en-GB"/>
              </w:rPr>
            </w:pPr>
          </w:p>
        </w:tc>
      </w:tr>
      <w:tr w14:paraId="6CDBD4BA" w14:textId="77777777" w:rsidTr="00446B74">
        <w:tblPrEx>
          <w:tblW w:w="11204" w:type="dxa"/>
          <w:tblInd w:w="-714" w:type="dxa"/>
          <w:tblLayout w:type="fixed"/>
          <w:tblLook w:val="04A0"/>
        </w:tblPrEx>
        <w:trPr>
          <w:trHeight w:val="696"/>
        </w:trPr>
        <w:tc>
          <w:tcPr>
            <w:tcW w:w="1985" w:type="dxa"/>
            <w:vMerge w:val="restart"/>
          </w:tcPr>
          <w:p w:rsidR="007B186B" w:rsidRPr="00536F4C" w:rsidP="007D1F61" w14:paraId="4E660B0B" w14:textId="77777777">
            <w:pPr>
              <w:rPr>
                <w:rFonts w:ascii="Calibri" w:eastAsia="Calibri" w:hAnsi="Calibri" w:cs="Calibri"/>
                <w:b/>
                <w:bCs/>
                <w:noProof/>
                <w:lang w:val="en-GB" w:eastAsia="en-GB"/>
              </w:rPr>
            </w:pPr>
          </w:p>
        </w:tc>
        <w:tc>
          <w:tcPr>
            <w:tcW w:w="284" w:type="dxa"/>
            <w:vMerge w:val="restart"/>
          </w:tcPr>
          <w:p w:rsidR="007B186B" w:rsidRPr="00536F4C" w:rsidP="007D1F61" w14:paraId="3BC2729F" w14:textId="77777777">
            <w:pPr>
              <w:rPr>
                <w:lang w:val="en-GB"/>
              </w:rPr>
            </w:pPr>
          </w:p>
        </w:tc>
        <w:tc>
          <w:tcPr>
            <w:tcW w:w="8935" w:type="dxa"/>
            <w:gridSpan w:val="3"/>
          </w:tcPr>
          <w:p w:rsidR="00253333" w:rsidRPr="00253333" w:rsidP="00253333" w14:paraId="6E587F47" w14:textId="77777777">
            <w:pPr>
              <w:pStyle w:val="ListParagraph"/>
              <w:numPr>
                <w:ilvl w:val="3"/>
                <w:numId w:val="3"/>
              </w:numPr>
              <w:spacing w:after="0"/>
              <w:ind w:left="604" w:hanging="141"/>
              <w:jc w:val="both"/>
              <w:rPr>
                <w:b/>
                <w:i/>
                <w:color w:val="C00000"/>
                <w:sz w:val="18"/>
                <w:lang w:val="en-GB"/>
              </w:rPr>
            </w:pPr>
            <w:r>
              <w:rPr>
                <w:i/>
                <w:lang w:val="en-GB"/>
              </w:rPr>
              <w:t xml:space="preserve"> </w:t>
            </w:r>
            <w:r w:rsidRPr="00536F4C" w:rsidR="007B186B">
              <w:rPr>
                <w:i/>
                <w:lang w:val="en-GB"/>
              </w:rPr>
              <w:t>How are the sustainable investments aligned with the OECD Guidelines for Multinational Enterprises and the UN Guiding Principles on Business and Human Rights? Details:</w:t>
            </w:r>
          </w:p>
          <w:p w:rsidR="00253333" w:rsidP="00253333" w14:paraId="2C6B56B7" w14:textId="77777777">
            <w:pPr>
              <w:pStyle w:val="ListParagraph"/>
              <w:spacing w:after="0"/>
              <w:ind w:left="604"/>
              <w:jc w:val="both"/>
              <w:rPr>
                <w:lang w:val="en-GB"/>
              </w:rPr>
            </w:pPr>
          </w:p>
          <w:p w:rsidR="00253333" w:rsidP="00253333" w14:paraId="0F68BA21" w14:textId="77777777">
            <w:pPr>
              <w:pStyle w:val="ListParagraph"/>
              <w:spacing w:after="0"/>
              <w:ind w:left="604"/>
              <w:jc w:val="both"/>
              <w:rPr>
                <w:sz w:val="20"/>
                <w:lang w:val="en-GB"/>
              </w:rPr>
            </w:pPr>
            <w:r w:rsidRPr="00775CB7">
              <w:rPr>
                <w:sz w:val="20"/>
                <w:lang w:val="en-GB"/>
              </w:rPr>
              <w:t>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we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w:t>
            </w:r>
          </w:p>
          <w:p w:rsidR="00D04CC4" w:rsidRPr="00253333" w:rsidP="00253333" w14:paraId="7202B4B7" w14:textId="1955E617">
            <w:pPr>
              <w:pStyle w:val="ListParagraph"/>
              <w:spacing w:after="0"/>
              <w:ind w:left="604"/>
              <w:jc w:val="both"/>
              <w:rPr>
                <w:b/>
                <w:i/>
                <w:color w:val="C00000"/>
                <w:sz w:val="18"/>
                <w:lang w:val="en-GB"/>
              </w:rPr>
            </w:pPr>
          </w:p>
        </w:tc>
      </w:tr>
      <w:tr w14:paraId="7E5D696D" w14:textId="77777777" w:rsidTr="00257681">
        <w:tblPrEx>
          <w:tblW w:w="11204" w:type="dxa"/>
          <w:tblInd w:w="-714" w:type="dxa"/>
          <w:tblLayout w:type="fixed"/>
          <w:tblLook w:val="04A0"/>
        </w:tblPrEx>
        <w:trPr>
          <w:trHeight w:val="257"/>
        </w:trPr>
        <w:tc>
          <w:tcPr>
            <w:tcW w:w="1985" w:type="dxa"/>
            <w:vMerge/>
          </w:tcPr>
          <w:p w:rsidR="007B186B" w:rsidRPr="00536F4C" w:rsidP="007D1F61" w14:paraId="626D23A6" w14:textId="77777777">
            <w:pPr>
              <w:rPr>
                <w:rFonts w:ascii="Calibri" w:eastAsia="Calibri" w:hAnsi="Calibri" w:cs="Calibri"/>
                <w:b/>
                <w:bCs/>
                <w:noProof/>
                <w:lang w:val="en-GB" w:eastAsia="en-GB"/>
              </w:rPr>
            </w:pPr>
          </w:p>
        </w:tc>
        <w:tc>
          <w:tcPr>
            <w:tcW w:w="284" w:type="dxa"/>
            <w:vMerge/>
          </w:tcPr>
          <w:p w:rsidR="007B186B" w:rsidRPr="00536F4C" w:rsidP="007D1F61" w14:paraId="0FFD7857" w14:textId="77777777">
            <w:pPr>
              <w:rPr>
                <w:lang w:val="en-GB"/>
              </w:rPr>
            </w:pPr>
          </w:p>
        </w:tc>
        <w:tc>
          <w:tcPr>
            <w:tcW w:w="8935" w:type="dxa"/>
            <w:gridSpan w:val="3"/>
          </w:tcPr>
          <w:p w:rsidR="00253333" w:rsidRPr="00467162" w:rsidP="007D1F61" w14:paraId="09FE5DB4" w14:textId="1F539DEE">
            <w:pPr>
              <w:rPr>
                <w:rFonts w:asciiTheme="minorHAnsi" w:hAnsiTheme="minorHAnsi" w:cstheme="minorHAnsi"/>
                <w:sz w:val="22"/>
                <w:szCs w:val="22"/>
                <w:lang w:val="en-GB"/>
              </w:rPr>
            </w:pPr>
          </w:p>
        </w:tc>
      </w:tr>
      <w:tr w14:paraId="3EE9D685" w14:textId="77777777" w:rsidTr="00960BBF">
        <w:tblPrEx>
          <w:tblW w:w="11204" w:type="dxa"/>
          <w:tblInd w:w="-714" w:type="dxa"/>
          <w:tblLayout w:type="fixed"/>
          <w:tblLook w:val="04A0"/>
        </w:tblPrEx>
        <w:trPr>
          <w:trHeight w:val="2268"/>
        </w:trPr>
        <w:tc>
          <w:tcPr>
            <w:tcW w:w="1985" w:type="dxa"/>
          </w:tcPr>
          <w:p w:rsidR="007B186B" w:rsidRPr="00536F4C" w:rsidP="007D1F61" w14:paraId="278DEF8A" w14:textId="77777777">
            <w:pPr>
              <w:rPr>
                <w:rFonts w:ascii="Calibri" w:eastAsia="Calibri" w:hAnsi="Calibri" w:cs="Calibri"/>
                <w:b/>
                <w:bCs/>
                <w:noProof/>
                <w:lang w:val="en-GB" w:eastAsia="en-GB"/>
              </w:rPr>
            </w:pPr>
          </w:p>
        </w:tc>
        <w:tc>
          <w:tcPr>
            <w:tcW w:w="284" w:type="dxa"/>
          </w:tcPr>
          <w:p w:rsidR="007B186B" w:rsidRPr="00536F4C" w:rsidP="007D1F61" w14:paraId="0B2B3BF4" w14:textId="77777777">
            <w:pPr>
              <w:rPr>
                <w:lang w:val="en-GB"/>
              </w:rPr>
            </w:pPr>
          </w:p>
        </w:tc>
        <w:tc>
          <w:tcPr>
            <w:tcW w:w="8935" w:type="dxa"/>
            <w:gridSpan w:val="3"/>
            <w:shd w:val="clear" w:color="auto" w:fill="FBE9D8"/>
          </w:tcPr>
          <w:p w:rsidR="00960BBF" w:rsidP="00960BBF" w14:paraId="7F4BB6C9" w14:textId="69C08214">
            <w:pPr>
              <w:autoSpaceDE w:val="0"/>
              <w:autoSpaceDN w:val="0"/>
              <w:adjustRightInd w:val="0"/>
              <w:jc w:val="left"/>
              <w:rPr>
                <w:rFonts w:ascii="Calibri" w:hAnsi="Calibri" w:cs="Calibri"/>
                <w:i/>
                <w:iCs/>
                <w:color w:val="000000"/>
                <w:sz w:val="24"/>
                <w:szCs w:val="24"/>
                <w:lang w:val="en-US"/>
              </w:rPr>
            </w:pPr>
            <w:r w:rsidRPr="00960BBF">
              <w:rPr>
                <w:rFonts w:ascii="Calibri" w:hAnsi="Calibri" w:cs="Calibri"/>
                <w:i/>
                <w:iCs/>
                <w:color w:val="000000"/>
                <w:sz w:val="24"/>
                <w:szCs w:val="24"/>
                <w:lang w:val="en-US"/>
              </w:rPr>
              <w:t xml:space="preserve">The EU Taxonomy sets out a “do not significant harm” principle by which Taxonomy-aligned investments should not significantly harm EU Taxonomy objectives and is accompanied by specific EU criteria. </w:t>
            </w:r>
          </w:p>
          <w:p w:rsidR="00960BBF" w:rsidRPr="00960BBF" w:rsidP="00960BBF" w14:paraId="194B2A09" w14:textId="77777777">
            <w:pPr>
              <w:autoSpaceDE w:val="0"/>
              <w:autoSpaceDN w:val="0"/>
              <w:adjustRightInd w:val="0"/>
              <w:jc w:val="left"/>
              <w:rPr>
                <w:rFonts w:ascii="Calibri" w:hAnsi="Calibri" w:cs="Calibri"/>
                <w:color w:val="000000"/>
                <w:sz w:val="24"/>
                <w:szCs w:val="24"/>
                <w:lang w:val="en-US"/>
              </w:rPr>
            </w:pPr>
          </w:p>
          <w:p w:rsidR="00960BBF" w:rsidP="00960BBF" w14:paraId="16B0453E" w14:textId="73985CE7">
            <w:pPr>
              <w:autoSpaceDE w:val="0"/>
              <w:autoSpaceDN w:val="0"/>
              <w:adjustRightInd w:val="0"/>
              <w:jc w:val="left"/>
              <w:rPr>
                <w:rFonts w:ascii="Calibri" w:hAnsi="Calibri" w:cs="Calibri"/>
                <w:color w:val="000000"/>
                <w:sz w:val="24"/>
                <w:szCs w:val="24"/>
                <w:lang w:val="en-US"/>
              </w:rPr>
            </w:pPr>
            <w:r w:rsidRPr="00960BBF">
              <w:rPr>
                <w:rFonts w:ascii="Calibri" w:hAnsi="Calibri" w:cs="Calibri"/>
                <w:color w:val="000000"/>
                <w:sz w:val="24"/>
                <w:szCs w:val="24"/>
                <w:lang w:val="en-US"/>
              </w:rPr>
              <w:t xml:space="preserve">The “do no significant harm” principle applies only to those investments underlying the financial product that take into account the EU criteria for environmentally sustainable economic activities. The investments underlying the remaining portion of this financial product do not take into account the EU criteria for environmentally sustainable economic activities. </w:t>
            </w:r>
          </w:p>
          <w:p w:rsidR="00960BBF" w:rsidRPr="00960BBF" w:rsidP="00960BBF" w14:paraId="37310E9E" w14:textId="77777777">
            <w:pPr>
              <w:autoSpaceDE w:val="0"/>
              <w:autoSpaceDN w:val="0"/>
              <w:adjustRightInd w:val="0"/>
              <w:jc w:val="left"/>
              <w:rPr>
                <w:rFonts w:ascii="Calibri" w:hAnsi="Calibri" w:cs="Calibri"/>
                <w:color w:val="000000"/>
                <w:sz w:val="24"/>
                <w:szCs w:val="24"/>
                <w:lang w:val="en-US"/>
              </w:rPr>
            </w:pPr>
          </w:p>
          <w:p w:rsidR="00AA3260" w:rsidP="007D1F61" w14:paraId="00E1C84A" w14:textId="77777777">
            <w:pPr>
              <w:rPr>
                <w:rFonts w:ascii="Calibri" w:hAnsi="Calibri" w:cs="Calibri"/>
                <w:i/>
                <w:iCs/>
                <w:color w:val="000000"/>
                <w:sz w:val="24"/>
                <w:szCs w:val="24"/>
                <w:lang w:val="en-US"/>
              </w:rPr>
            </w:pPr>
            <w:r w:rsidRPr="005A64AB">
              <w:rPr>
                <w:rFonts w:ascii="Calibri" w:hAnsi="Calibri" w:cs="Calibri"/>
                <w:i/>
                <w:iCs/>
                <w:color w:val="000000"/>
                <w:sz w:val="24"/>
                <w:szCs w:val="24"/>
                <w:lang w:val="en-US"/>
              </w:rPr>
              <w:t xml:space="preserve">Any other sustainable investments must also not significantly harm any environmental or social objectives. </w:t>
            </w:r>
          </w:p>
          <w:p w:rsidR="00960BBF" w:rsidRPr="00960BBF" w:rsidP="007D1F61" w14:paraId="03F090A6" w14:textId="1A776858">
            <w:pPr>
              <w:rPr>
                <w:lang w:val="en-US"/>
              </w:rPr>
            </w:pPr>
          </w:p>
        </w:tc>
      </w:tr>
      <w:tr w14:paraId="186AF5BD" w14:textId="77777777" w:rsidTr="00960BBF">
        <w:tblPrEx>
          <w:tblW w:w="11204" w:type="dxa"/>
          <w:tblInd w:w="-714" w:type="dxa"/>
          <w:tblLayout w:type="fixed"/>
          <w:tblLook w:val="04A0"/>
        </w:tblPrEx>
        <w:trPr>
          <w:trHeight w:val="397"/>
        </w:trPr>
        <w:tc>
          <w:tcPr>
            <w:tcW w:w="1985" w:type="dxa"/>
          </w:tcPr>
          <w:p w:rsidR="00E53D05" w:rsidRPr="00536F4C" w:rsidP="007D1F61" w14:paraId="0F92E0DD" w14:textId="39C9BC28">
            <w:pPr>
              <w:rPr>
                <w:rFonts w:ascii="Calibri" w:eastAsia="Calibri" w:hAnsi="Calibri" w:cs="Calibri"/>
                <w:b/>
                <w:bCs/>
                <w:noProof/>
                <w:lang w:val="en-GB" w:eastAsia="en-GB"/>
              </w:rPr>
            </w:pPr>
            <w:r w:rsidRPr="00536F4C">
              <w:rPr>
                <w:noProof/>
                <w:lang w:val="fr-FR" w:eastAsia="zh-CN"/>
              </w:rPr>
              <w:drawing>
                <wp:anchor distT="0" distB="0" distL="114300" distR="114300" simplePos="0" relativeHeight="251658240" behindDoc="0" locked="0" layoutInCell="1" allowOverlap="1">
                  <wp:simplePos x="0" y="0"/>
                  <wp:positionH relativeFrom="column">
                    <wp:posOffset>-189230</wp:posOffset>
                  </wp:positionH>
                  <wp:positionV relativeFrom="paragraph">
                    <wp:posOffset>6985</wp:posOffset>
                  </wp:positionV>
                  <wp:extent cx="1809750" cy="73977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l="1498" r="3884" b="11300"/>
                          <a:stretch>
                            <a:fillRect/>
                          </a:stretch>
                        </pic:blipFill>
                        <pic:spPr bwMode="auto">
                          <a:xfrm>
                            <a:off x="0" y="0"/>
                            <a:ext cx="1809750" cy="7397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anchor>
              </w:drawing>
            </w:r>
          </w:p>
        </w:tc>
        <w:tc>
          <w:tcPr>
            <w:tcW w:w="284" w:type="dxa"/>
          </w:tcPr>
          <w:p w:rsidR="00E53D05" w:rsidRPr="00536F4C" w:rsidP="007D1F61" w14:paraId="10C93536" w14:textId="047F0F0F">
            <w:pPr>
              <w:rPr>
                <w:lang w:val="en-GB"/>
              </w:rPr>
            </w:pPr>
          </w:p>
        </w:tc>
        <w:tc>
          <w:tcPr>
            <w:tcW w:w="8935" w:type="dxa"/>
            <w:gridSpan w:val="3"/>
          </w:tcPr>
          <w:p w:rsidR="006C7B4C" w:rsidP="00821B57" w14:paraId="7E38DB7C" w14:textId="77777777">
            <w:pPr>
              <w:ind w:left="462"/>
              <w:rPr>
                <w:rFonts w:asciiTheme="minorHAnsi" w:hAnsiTheme="minorHAnsi" w:cstheme="minorHAnsi"/>
                <w:b/>
                <w:sz w:val="24"/>
                <w:szCs w:val="24"/>
                <w:lang w:val="en-GB"/>
              </w:rPr>
            </w:pPr>
          </w:p>
          <w:p w:rsidR="00E53D05" w:rsidRPr="00A02EC8" w:rsidP="00821B57" w14:paraId="4DAD9CF3" w14:textId="694459E0">
            <w:pPr>
              <w:ind w:left="462"/>
              <w:rPr>
                <w:rFonts w:asciiTheme="minorHAnsi" w:hAnsiTheme="minorHAnsi" w:cstheme="minorHAnsi"/>
                <w:sz w:val="24"/>
                <w:szCs w:val="24"/>
                <w:lang w:val="en-GB"/>
              </w:rPr>
            </w:pPr>
            <w:r w:rsidRPr="00A02EC8">
              <w:rPr>
                <w:rFonts w:asciiTheme="minorHAnsi" w:hAnsiTheme="minorHAnsi" w:cstheme="minorHAnsi"/>
                <w:b/>
                <w:sz w:val="24"/>
                <w:szCs w:val="24"/>
                <w:lang w:val="en-GB"/>
              </w:rPr>
              <w:t>Does this financial product consider principal adverse impacts on sustainability factors?</w:t>
            </w:r>
            <w:r w:rsidRPr="00A02EC8">
              <w:rPr>
                <w:rFonts w:asciiTheme="minorHAnsi" w:hAnsiTheme="minorHAnsi" w:cstheme="minorHAnsi"/>
                <w:sz w:val="24"/>
                <w:szCs w:val="24"/>
                <w:lang w:val="en-GB"/>
              </w:rPr>
              <w:t xml:space="preserve"> </w:t>
            </w:r>
            <w:bookmarkStart w:id="1" w:name="_GoBack"/>
            <w:bookmarkEnd w:id="1"/>
          </w:p>
        </w:tc>
      </w:tr>
      <w:tr w14:paraId="2233CD0F" w14:textId="77777777" w:rsidTr="00521AB7">
        <w:tblPrEx>
          <w:tblW w:w="11204" w:type="dxa"/>
          <w:tblInd w:w="-714" w:type="dxa"/>
          <w:tblLayout w:type="fixed"/>
          <w:tblLook w:val="04A0"/>
        </w:tblPrEx>
        <w:trPr>
          <w:trHeight w:val="1814"/>
        </w:trPr>
        <w:tc>
          <w:tcPr>
            <w:tcW w:w="1985" w:type="dxa"/>
          </w:tcPr>
          <w:p w:rsidR="00E53D05" w:rsidRPr="00536F4C" w:rsidP="007D1F61" w14:paraId="6A6672B8" w14:textId="77777777">
            <w:pPr>
              <w:rPr>
                <w:rFonts w:ascii="Calibri" w:eastAsia="Calibri" w:hAnsi="Calibri" w:cs="Calibri"/>
                <w:b/>
                <w:bCs/>
                <w:noProof/>
                <w:lang w:val="en-GB" w:eastAsia="en-GB"/>
              </w:rPr>
            </w:pPr>
          </w:p>
        </w:tc>
        <w:tc>
          <w:tcPr>
            <w:tcW w:w="284" w:type="dxa"/>
          </w:tcPr>
          <w:p w:rsidR="00E53D05" w:rsidRPr="00536F4C" w:rsidP="007D1F61" w14:paraId="774BEB6F" w14:textId="1A2D6576">
            <w:pPr>
              <w:rPr>
                <w:lang w:val="en-GB"/>
              </w:rPr>
            </w:pPr>
          </w:p>
        </w:tc>
        <w:tc>
          <w:tcPr>
            <w:tcW w:w="8935" w:type="dxa"/>
            <w:gridSpan w:val="3"/>
          </w:tcPr>
          <w:p w:rsidR="00E53D05" w:rsidRPr="005F7CDE" w:rsidP="007D1F61" w14:paraId="21F11582" w14:textId="4BD0CA5B">
            <w:pPr>
              <w:rPr>
                <w:rFonts w:asciiTheme="minorHAnsi" w:hAnsiTheme="minorHAnsi" w:cstheme="minorHAnsi"/>
                <w:b/>
                <w:i/>
                <w:noProof/>
                <w:sz w:val="22"/>
                <w:szCs w:val="22"/>
                <w:lang w:val="en-GB" w:eastAsia="fr-LU"/>
              </w:rPr>
            </w:pPr>
          </w:p>
          <w:p w:rsidR="00E53D05" w:rsidRPr="005F7CDE" w:rsidP="007D1F61" w14:paraId="38D2D10D" w14:textId="3A1DF454">
            <w:pPr>
              <w:ind w:left="720"/>
              <w:rPr>
                <w:rFonts w:asciiTheme="minorHAnsi" w:hAnsiTheme="minorHAnsi" w:cstheme="minorHAnsi"/>
                <w:sz w:val="22"/>
                <w:szCs w:val="22"/>
                <w:lang w:val="en-GB"/>
              </w:rPr>
            </w:pPr>
            <w:r w:rsidRPr="00D208B3">
              <w:rPr>
                <w:b/>
                <w:noProof/>
                <w:color w:val="808080" w:themeColor="background1" w:themeShade="80"/>
                <w:lang w:val="fr-FR" w:eastAsia="zh-CN"/>
              </w:rPr>
              <mc:AlternateContent>
                <mc:Choice Requires="wps">
                  <w:drawing>
                    <wp:anchor distT="45720" distB="45720" distL="114300" distR="114300" simplePos="0" relativeHeight="251670528" behindDoc="0" locked="0" layoutInCell="1" allowOverlap="1">
                      <wp:simplePos x="0" y="0"/>
                      <wp:positionH relativeFrom="column">
                        <wp:posOffset>431749</wp:posOffset>
                      </wp:positionH>
                      <wp:positionV relativeFrom="paragraph">
                        <wp:posOffset>20350</wp:posOffset>
                      </wp:positionV>
                      <wp:extent cx="270344" cy="302149"/>
                      <wp:effectExtent l="0" t="0" r="0" b="3175"/>
                      <wp:wrapNone/>
                      <wp:docPr id="5"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344" cy="302149"/>
                              </a:xfrm>
                              <a:prstGeom prst="rect">
                                <a:avLst/>
                              </a:prstGeom>
                              <a:noFill/>
                              <a:ln w="9525">
                                <a:noFill/>
                                <a:miter lim="800000"/>
                                <a:headEnd/>
                                <a:tailEnd/>
                              </a:ln>
                            </wps:spPr>
                            <wps:txbx>
                              <w:txbxContent>
                                <w:p w:rsidR="00D52949" w:rsidRPr="00B94DB9" w:rsidP="00D52949" w14:textId="59C6F7CA">
                                  <w:pPr>
                                    <w:spacing w:before="0" w:after="0" w:line="240" w:lineRule="auto"/>
                                    <w:jc w:val="left"/>
                                    <w:outlineLvl w:val="0"/>
                                    <w:rPr>
                                      <w:rFonts w:asciiTheme="minorHAnsi" w:hAnsiTheme="minorHAnsi" w:cstheme="minorHAnsi"/>
                                      <w:b/>
                                      <w:sz w:val="21"/>
                                      <w:szCs w:val="21"/>
                                    </w:rPr>
                                  </w:pPr>
                                  <w:r w:rsidRPr="00B94DB9">
                                    <w:rPr>
                                      <w:rFonts w:asciiTheme="minorHAnsi" w:hAnsiTheme="minorHAnsi" w:cstheme="minorHAnsi"/>
                                      <w:b/>
                                      <w:sz w:val="21"/>
                                      <w:szCs w:val="21"/>
                                    </w:rPr>
                                    <w:t>X</w:t>
                                  </w:r>
                                </w:p>
                                <w:p w:rsidR="00D52949" w:rsidRPr="00B94DB9" w:rsidP="00D52949" w14:textId="3D1251B0">
                                  <w:pPr>
                                    <w:spacing w:before="0" w:after="0"/>
                                    <w:jc w:val="center"/>
                                    <w:rPr>
                                      <w:rFonts w:eastAsia="Times New Roman" w:asciiTheme="minorHAnsi" w:hAnsiTheme="minorHAnsi" w:cstheme="minorHAnsi"/>
                                      <w:b/>
                                      <w:bCs/>
                                      <w:sz w:val="21"/>
                                      <w:szCs w:val="21"/>
                                      <w:lang w:val="en-GB" w:eastAsia="fr-B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36" type="#_x0000_t202" style="width:21.29pt;height:23.79pt;margin-top:1.6pt;margin-left:34pt;mso-height-percent:0;mso-height-relative:margin;mso-width-percent:0;mso-width-relative:margin;mso-wrap-distance-bottom:3.6pt;mso-wrap-distance-left:9pt;mso-wrap-distance-right:9pt;mso-wrap-distance-top:3.6pt;position:absolute;v-text-anchor:top;z-index:251669504" filled="f" fillcolor="this" stroked="f" strokeweight="0.75pt">
                      <v:textbox>
                        <w:txbxContent>
                          <w:p w:rsidR="00D52949" w:rsidRPr="00B94DB9" w:rsidP="00D52949" w14:paraId="02D498B2" w14:textId="59C6F7CA">
                            <w:pPr>
                              <w:spacing w:before="0" w:after="0" w:line="240" w:lineRule="auto"/>
                              <w:jc w:val="left"/>
                              <w:outlineLvl w:val="0"/>
                              <w:rPr>
                                <w:rFonts w:asciiTheme="minorHAnsi" w:hAnsiTheme="minorHAnsi" w:cstheme="minorHAnsi"/>
                                <w:b/>
                                <w:sz w:val="21"/>
                                <w:szCs w:val="21"/>
                              </w:rPr>
                            </w:pPr>
                            <w:r w:rsidRPr="00B94DB9">
                              <w:rPr>
                                <w:rFonts w:asciiTheme="minorHAnsi" w:hAnsiTheme="minorHAnsi" w:cstheme="minorHAnsi"/>
                                <w:b/>
                                <w:sz w:val="21"/>
                                <w:szCs w:val="21"/>
                              </w:rPr>
                              <w:t>X</w:t>
                            </w:r>
                          </w:p>
                          <w:p w:rsidR="00D52949" w:rsidRPr="00B94DB9" w:rsidP="00D52949" w14:paraId="3CCE382A" w14:textId="3D1251B0">
                            <w:pPr>
                              <w:spacing w:before="0" w:after="0"/>
                              <w:jc w:val="center"/>
                              <w:rPr>
                                <w:rFonts w:eastAsia="Times New Roman" w:asciiTheme="minorHAnsi" w:hAnsiTheme="minorHAnsi" w:cstheme="minorHAnsi"/>
                                <w:b/>
                                <w:bCs/>
                                <w:sz w:val="21"/>
                                <w:szCs w:val="21"/>
                                <w:lang w:val="en-GB" w:eastAsia="fr-BE"/>
                              </w:rPr>
                            </w:pPr>
                          </w:p>
                        </w:txbxContent>
                      </v:textbox>
                    </v:shape>
                  </w:pict>
                </mc:Fallback>
              </mc:AlternateContent>
            </w:r>
            <w:r w:rsidRPr="009219A4" w:rsidR="00EC1D7A">
              <w:rPr>
                <w:rFonts w:asciiTheme="minorHAnsi" w:hAnsiTheme="minorHAnsi" w:cstheme="minorHAnsi"/>
                <w:noProof/>
                <w:sz w:val="22"/>
                <w:szCs w:val="22"/>
                <w:lang w:val="fr-FR" w:eastAsia="zh-CN"/>
              </w:rPr>
              <mc:AlternateContent>
                <mc:Choice Requires="wps">
                  <w:drawing>
                    <wp:anchor distT="45720" distB="45720" distL="114300" distR="114300" simplePos="0" relativeHeight="251665408" behindDoc="0" locked="0" layoutInCell="1" allowOverlap="1">
                      <wp:simplePos x="0" y="0"/>
                      <wp:positionH relativeFrom="column">
                        <wp:posOffset>466090</wp:posOffset>
                      </wp:positionH>
                      <wp:positionV relativeFrom="paragraph">
                        <wp:posOffset>52070</wp:posOffset>
                      </wp:positionV>
                      <wp:extent cx="205740" cy="205740"/>
                      <wp:effectExtent l="0" t="0" r="22860" b="22860"/>
                      <wp:wrapSquare wrapText="bothSides"/>
                      <wp:docPr id="1"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740" cy="205740"/>
                              </a:xfrm>
                              <a:prstGeom prst="rect">
                                <a:avLst/>
                              </a:prstGeom>
                              <a:solidFill>
                                <a:srgbClr val="FFFFFF"/>
                              </a:solidFill>
                              <a:ln w="9525">
                                <a:solidFill>
                                  <a:srgbClr val="000000"/>
                                </a:solidFill>
                                <a:miter lim="800000"/>
                                <a:headEnd/>
                                <a:tailEnd/>
                              </a:ln>
                            </wps:spPr>
                            <wps:txbx>
                              <w:txbxContent>
                                <w:p w:rsidR="009219A4" w:rsidRPr="00D52949" w:rsidP="00193F49" w14:textId="1768C313">
                                  <w:pPr>
                                    <w:spacing w:before="0" w:after="0" w:line="240" w:lineRule="auto"/>
                                    <w:jc w:val="left"/>
                                    <w:outlineLvl w:val="0"/>
                                    <w:rPr>
                                      <w:rFonts w:asciiTheme="minorHAnsi" w:hAnsiTheme="minorHAnsi" w:cstheme="minorHAnsi"/>
                                      <w:b/>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6.2pt;height:16.2pt;margin-top:4.1pt;margin-left:36.7pt;mso-height-percent:0;mso-height-relative:margin;mso-width-percent:0;mso-width-relative:margin;mso-wrap-distance-bottom:3.6pt;mso-wrap-distance-left:9pt;mso-wrap-distance-right:9pt;mso-wrap-distance-top:3.6pt;mso-wrap-style:square;position:absolute;visibility:visible;v-text-anchor:top;z-index:251666432">
                      <v:textbox>
                        <w:txbxContent>
                          <w:p w:rsidR="009219A4" w:rsidRPr="00D52949" w:rsidP="00193F49" w14:paraId="3FD16EE0" w14:textId="1768C313">
                            <w:pPr>
                              <w:spacing w:before="0" w:after="0" w:line="240" w:lineRule="auto"/>
                              <w:jc w:val="left"/>
                              <w:outlineLvl w:val="0"/>
                              <w:rPr>
                                <w:rFonts w:asciiTheme="minorHAnsi" w:hAnsiTheme="minorHAnsi" w:cstheme="minorHAnsi"/>
                                <w:b/>
                              </w:rPr>
                            </w:pPr>
                          </w:p>
                        </w:txbxContent>
                      </v:textbox>
                      <w10:wrap type="square"/>
                    </v:shape>
                  </w:pict>
                </mc:Fallback>
              </mc:AlternateContent>
            </w:r>
            <w:r w:rsidRPr="005F7CDE" w:rsidR="00E53D05">
              <w:rPr>
                <w:rFonts w:asciiTheme="minorHAnsi" w:hAnsiTheme="minorHAnsi" w:cstheme="minorHAnsi"/>
                <w:sz w:val="22"/>
                <w:szCs w:val="22"/>
                <w:lang w:val="en-GB"/>
              </w:rPr>
              <w:t>Yes</w:t>
            </w:r>
            <w:r w:rsidRPr="005F7CDE" w:rsidR="00D000BE">
              <w:rPr>
                <w:rFonts w:asciiTheme="minorHAnsi" w:hAnsiTheme="minorHAnsi" w:cstheme="minorHAnsi"/>
                <w:sz w:val="22"/>
                <w:szCs w:val="22"/>
                <w:lang w:val="en-GB"/>
              </w:rPr>
              <w:t xml:space="preserve">, </w:t>
            </w:r>
            <w:r w:rsidR="008A2B99">
              <w:rPr>
                <w:rFonts w:asciiTheme="minorHAnsi" w:hAnsiTheme="minorHAnsi" w:cstheme="minorHAnsi"/>
                <w:sz w:val="22"/>
                <w:szCs w:val="22"/>
                <w:lang w:val="en-GB"/>
              </w:rPr>
              <w:t xml:space="preserve">The Sub-Fund considers Principal Adverse Impacts as per Annex 1, Table 1 of the RTS applying to the Sub-Fund’s strategy and relies on a combination of exclusion policies (normative and sectorial), engagement and voting approaches. </w:t>
              <w:cr/>
              <w:t>
</w:t>
              <w:cr/>
              <w:t>
- Exclusion: Amundi has defined normative, activity-based and sector-based exclusion rules covering some of the key adverse sustainability indicators listed by the Disclosure Regulation.</w:t>
              <w:cr/>
              <w:t>
</w:t>
              <w:cr/>
              <w:t>
- Engagement: Engagement is a continuous and purpose driven process aimed at influencing the activities or behavior of investee companies. The aim of engagement activities can fall into two categories : to engage an issuer to improve the way it integrates the environmental and social dimension, to engage an issuer to improve its impact on environmental, social, and human rights-related or other sustainability matters that are material to society and the global economy.</w:t>
              <w:cr/>
              <w:t>
</w:t>
              <w:cr/>
              <w:t xml:space="preserve">
- Vote: Amundi’s voting policy responds to an holistic analysis of all the long-term issues that may influence value creation, including material ESG issues. For more information please refer to Amundi’s Voting Policy . </w:t>
              <w:cr/>
              <w:t>
</w:t>
              <w:cr/>
              <w:t>
- Controversies monitoring: Amundi has developed a controversy tracking system that relies on three external data providers to systematically track controversies and their level of severity. This quantitative approach is then enriched with an in-depth assessment of each severe controversy, led by ESG analysts and the periodic review of its evolution. This approach applies to all of Amundi’s funds.</w:t>
              <w:cr/>
              <w:t>
</w:t>
              <w:cr/>
              <w:t>
For any indication on how mandatory Principal Adverse Impact indicators are used, please refer to the Amundi ESG Regulatory Statement available at www.amundi.lu</w:t>
            </w:r>
            <w:r w:rsidRPr="00152B06" w:rsidR="00152B06">
              <w:rPr>
                <w:b/>
                <w:noProof/>
                <w:color w:val="808080" w:themeColor="background1" w:themeShade="80"/>
                <w:lang w:val="en-US" w:eastAsia="zh-CN"/>
              </w:rPr>
              <w:t xml:space="preserve"> </w:t>
            </w:r>
          </w:p>
          <w:p w:rsidR="00E53D05" w:rsidRPr="005F7CDE" w:rsidP="007D1F61" w14:paraId="343982C6" w14:textId="32040307">
            <w:pPr>
              <w:ind w:left="257"/>
              <w:rPr>
                <w:rFonts w:asciiTheme="minorHAnsi" w:hAnsiTheme="minorHAnsi" w:cstheme="minorHAnsi"/>
                <w:sz w:val="22"/>
                <w:szCs w:val="22"/>
                <w:lang w:val="en-GB"/>
              </w:rPr>
            </w:pPr>
            <w:r w:rsidRPr="00D208B3">
              <w:rPr>
                <w:b/>
                <w:noProof/>
                <w:color w:val="808080" w:themeColor="background1" w:themeShade="80"/>
                <w:lang w:val="fr-FR" w:eastAsia="zh-CN"/>
              </w:rPr>
              <mc:AlternateContent>
                <mc:Choice Requires="wps">
                  <w:drawing>
                    <wp:anchor distT="45720" distB="45720" distL="114300" distR="114300" simplePos="0" relativeHeight="251722752" behindDoc="0" locked="0" layoutInCell="1" allowOverlap="1">
                      <wp:simplePos x="0" y="0"/>
                      <wp:positionH relativeFrom="column">
                        <wp:posOffset>417195</wp:posOffset>
                      </wp:positionH>
                      <wp:positionV relativeFrom="paragraph">
                        <wp:posOffset>166370</wp:posOffset>
                      </wp:positionV>
                      <wp:extent cx="320675" cy="299720"/>
                      <wp:effectExtent l="0" t="0" r="0" b="5080"/>
                      <wp:wrapNone/>
                      <wp:docPr id="7"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0675" cy="299720"/>
                              </a:xfrm>
                              <a:prstGeom prst="rect">
                                <a:avLst/>
                              </a:prstGeom>
                              <a:noFill/>
                              <a:ln w="9525">
                                <a:noFill/>
                                <a:miter lim="800000"/>
                                <a:headEnd/>
                                <a:tailEnd/>
                              </a:ln>
                            </wps:spPr>
                            <wps:txbx>
                              <w:txbxContent>
                                <w:p w:rsidR="00152B06" w:rsidRPr="00B94DB9" w:rsidP="00152B06" w14:textId="7EFA00C6">
                                  <w:pPr>
                                    <w:spacing w:before="0" w:after="0" w:line="240" w:lineRule="auto"/>
                                    <w:jc w:val="center"/>
                                    <w:outlineLvl w:val="0"/>
                                    <w:rPr>
                                      <w:rFonts w:asciiTheme="minorHAnsi" w:hAnsiTheme="minorHAnsi" w:cstheme="minorHAnsi"/>
                                      <w:b/>
                                      <w:sz w:val="21"/>
                                      <w:szCs w:val="21"/>
                                    </w:rPr>
                                  </w:pPr>
                                </w:p>
                                <w:p w:rsidR="00152B06" w:rsidRPr="00B94DB9" w:rsidP="00152B06" w14:textId="77777777">
                                  <w:pPr>
                                    <w:spacing w:before="0" w:after="0"/>
                                    <w:jc w:val="center"/>
                                    <w:rPr>
                                      <w:rFonts w:eastAsia="Times New Roman" w:asciiTheme="minorHAnsi" w:hAnsiTheme="minorHAnsi" w:cstheme="minorHAnsi"/>
                                      <w:b/>
                                      <w:bCs/>
                                      <w:sz w:val="21"/>
                                      <w:szCs w:val="21"/>
                                      <w:lang w:val="en-GB" w:eastAsia="fr-B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38" type="#_x0000_t202" style="width:25.25pt;height:23.6pt;margin-top:13.1pt;margin-left:32.85pt;mso-height-percent:0;mso-height-relative:margin;mso-width-percent:0;mso-width-relative:margin;mso-wrap-distance-bottom:3.6pt;mso-wrap-distance-left:9pt;mso-wrap-distance-right:9pt;mso-wrap-distance-top:3.6pt;position:absolute;v-text-anchor:top;z-index:251721728" filled="f" fillcolor="this" stroked="f" strokeweight="0.75pt">
                      <v:textbox>
                        <w:txbxContent>
                          <w:p w:rsidR="00152B06" w:rsidRPr="00B94DB9" w:rsidP="00152B06" w14:paraId="41434D39" w14:textId="7EFA00C6">
                            <w:pPr>
                              <w:spacing w:before="0" w:after="0" w:line="240" w:lineRule="auto"/>
                              <w:jc w:val="center"/>
                              <w:outlineLvl w:val="0"/>
                              <w:rPr>
                                <w:rFonts w:asciiTheme="minorHAnsi" w:hAnsiTheme="minorHAnsi" w:cstheme="minorHAnsi"/>
                                <w:b/>
                                <w:sz w:val="21"/>
                                <w:szCs w:val="21"/>
                              </w:rPr>
                            </w:pPr>
                          </w:p>
                          <w:p w:rsidR="00152B06" w:rsidRPr="00B94DB9" w:rsidP="00152B06" w14:paraId="4DF6554E" w14:textId="77777777">
                            <w:pPr>
                              <w:spacing w:before="0" w:after="0"/>
                              <w:jc w:val="center"/>
                              <w:rPr>
                                <w:rFonts w:eastAsia="Times New Roman" w:asciiTheme="minorHAnsi" w:hAnsiTheme="minorHAnsi" w:cstheme="minorHAnsi"/>
                                <w:b/>
                                <w:bCs/>
                                <w:sz w:val="21"/>
                                <w:szCs w:val="21"/>
                                <w:lang w:val="en-GB" w:eastAsia="fr-BE"/>
                              </w:rPr>
                            </w:pPr>
                          </w:p>
                        </w:txbxContent>
                      </v:textbox>
                    </v:shape>
                  </w:pict>
                </mc:Fallback>
              </mc:AlternateContent>
            </w:r>
          </w:p>
          <w:p w:rsidR="00E53D05" w:rsidRPr="005F7CDE" w:rsidP="007D1F61" w14:paraId="5AA245AC" w14:textId="3CA5719A">
            <w:pPr>
              <w:ind w:left="720"/>
              <w:rPr>
                <w:rFonts w:asciiTheme="minorHAnsi" w:hAnsiTheme="minorHAnsi" w:cstheme="minorHAnsi"/>
                <w:noProof/>
                <w:sz w:val="22"/>
                <w:szCs w:val="22"/>
                <w:lang w:val="en-GB"/>
              </w:rPr>
            </w:pPr>
            <w:r w:rsidRPr="009219A4">
              <w:rPr>
                <w:rFonts w:asciiTheme="minorHAnsi" w:hAnsiTheme="minorHAnsi" w:cstheme="minorHAnsi"/>
                <w:noProof/>
                <w:sz w:val="22"/>
                <w:szCs w:val="22"/>
                <w:lang w:val="fr-FR" w:eastAsia="zh-CN"/>
              </w:rPr>
              <mc:AlternateContent>
                <mc:Choice Requires="wps">
                  <w:drawing>
                    <wp:anchor distT="45720" distB="45720" distL="114300" distR="114300" simplePos="0" relativeHeight="251667456" behindDoc="0" locked="0" layoutInCell="1" allowOverlap="1">
                      <wp:simplePos x="0" y="0"/>
                      <wp:positionH relativeFrom="column">
                        <wp:posOffset>466090</wp:posOffset>
                      </wp:positionH>
                      <wp:positionV relativeFrom="paragraph">
                        <wp:posOffset>28575</wp:posOffset>
                      </wp:positionV>
                      <wp:extent cx="205740" cy="214630"/>
                      <wp:effectExtent l="0" t="0" r="22860" b="13970"/>
                      <wp:wrapSquare wrapText="bothSides"/>
                      <wp:docPr id="3"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5740" cy="214630"/>
                              </a:xfrm>
                              <a:prstGeom prst="rect">
                                <a:avLst/>
                              </a:prstGeom>
                              <a:solidFill>
                                <a:srgbClr val="FFFFFF"/>
                              </a:solidFill>
                              <a:ln w="9525">
                                <a:solidFill>
                                  <a:srgbClr val="000000"/>
                                </a:solidFill>
                                <a:miter lim="800000"/>
                                <a:headEnd/>
                                <a:tailEnd/>
                              </a:ln>
                            </wps:spPr>
                            <wps:txbx>
                              <w:txbxContent>
                                <w:p w:rsidR="009219A4" w:rsidP="009219A4" w14:textId="65B0AAFD"/>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6.2pt;height:16.9pt;margin-top:2.25pt;margin-left:36.7pt;mso-height-percent:0;mso-height-relative:margin;mso-width-percent:0;mso-width-relative:margin;mso-wrap-distance-bottom:3.6pt;mso-wrap-distance-left:9pt;mso-wrap-distance-right:9pt;mso-wrap-distance-top:3.6pt;mso-wrap-style:square;position:absolute;visibility:visible;v-text-anchor:top;z-index:251668480">
                      <v:textbox>
                        <w:txbxContent>
                          <w:p w:rsidR="009219A4" w:rsidP="009219A4" w14:paraId="76A80416" w14:textId="65B0AAFD"/>
                        </w:txbxContent>
                      </v:textbox>
                      <w10:wrap type="square"/>
                    </v:shape>
                  </w:pict>
                </mc:Fallback>
              </mc:AlternateContent>
            </w:r>
            <w:r w:rsidRPr="005F7CDE" w:rsidR="00E53D05">
              <w:rPr>
                <w:rFonts w:asciiTheme="minorHAnsi" w:hAnsiTheme="minorHAnsi" w:cstheme="minorHAnsi"/>
                <w:sz w:val="22"/>
                <w:szCs w:val="22"/>
                <w:lang w:val="en-GB"/>
              </w:rPr>
              <w:t>No</w:t>
            </w:r>
            <w:r w:rsidRPr="005F7CDE" w:rsidR="00E53D05">
              <w:rPr>
                <w:rFonts w:asciiTheme="minorHAnsi" w:hAnsiTheme="minorHAnsi" w:cstheme="minorHAnsi"/>
                <w:noProof/>
                <w:sz w:val="22"/>
                <w:szCs w:val="22"/>
                <w:lang w:val="en-GB"/>
              </w:rPr>
              <w:t xml:space="preserve"> </w:t>
            </w:r>
          </w:p>
          <w:p w:rsidR="00B97479" w:rsidRPr="005F7CDE" w:rsidP="007D1F61" w14:paraId="25460E4F" w14:textId="4F1CF70C">
            <w:pPr>
              <w:ind w:firstLine="746"/>
              <w:rPr>
                <w:rFonts w:asciiTheme="minorHAnsi" w:hAnsiTheme="minorHAnsi" w:cstheme="minorHAnsi"/>
                <w:noProof/>
                <w:sz w:val="22"/>
                <w:szCs w:val="22"/>
                <w:lang w:val="en-GB"/>
              </w:rPr>
            </w:pPr>
          </w:p>
          <w:p w:rsidR="00B97479" w:rsidP="007D1F61" w14:paraId="1DA35C37" w14:textId="1C08738A">
            <w:pPr>
              <w:ind w:firstLine="746"/>
              <w:rPr>
                <w:lang w:val="en-GB"/>
              </w:rPr>
            </w:pPr>
          </w:p>
          <w:p w:rsidR="009A41FA" w:rsidP="007D1F61" w14:paraId="33DBEF9B" w14:textId="77777777">
            <w:pPr>
              <w:ind w:firstLine="746"/>
              <w:rPr>
                <w:lang w:val="en-GB"/>
              </w:rPr>
            </w:pPr>
          </w:p>
          <w:p w:rsidR="009A41FA" w:rsidRPr="00536F4C" w:rsidP="009A41FA" w14:paraId="67A0E310" w14:textId="1783DB16">
            <w:pPr>
              <w:rPr>
                <w:lang w:val="en-GB"/>
              </w:rPr>
            </w:pPr>
          </w:p>
        </w:tc>
      </w:tr>
      <w:tr w14:paraId="2E470FF5" w14:textId="77777777" w:rsidTr="00521AB7">
        <w:tblPrEx>
          <w:tblW w:w="11204" w:type="dxa"/>
          <w:tblInd w:w="-714" w:type="dxa"/>
          <w:tblLayout w:type="fixed"/>
          <w:tblLook w:val="04A0"/>
        </w:tblPrEx>
        <w:trPr>
          <w:trHeight w:val="1270"/>
        </w:trPr>
        <w:tc>
          <w:tcPr>
            <w:tcW w:w="1985" w:type="dxa"/>
          </w:tcPr>
          <w:p w:rsidR="0098025D" w:rsidRPr="00536F4C" w:rsidP="009271CA" w14:paraId="3CFAF822" w14:textId="4F87746F">
            <w:pPr>
              <w:jc w:val="left"/>
              <w:rPr>
                <w:rFonts w:ascii="Calibri" w:eastAsia="Calibri" w:hAnsi="Calibri" w:cs="Calibri"/>
                <w:b/>
                <w:bCs/>
                <w:noProof/>
                <w:lang w:val="en-GB" w:eastAsia="en-GB"/>
              </w:rPr>
            </w:pPr>
          </w:p>
        </w:tc>
        <w:tc>
          <w:tcPr>
            <w:tcW w:w="284" w:type="dxa"/>
          </w:tcPr>
          <w:p w:rsidR="0098025D" w:rsidRPr="00536F4C" w:rsidP="007D1F61" w14:paraId="030DFF41" w14:textId="50938729">
            <w:pPr>
              <w:rPr>
                <w:lang w:val="en-GB"/>
              </w:rPr>
            </w:pPr>
          </w:p>
        </w:tc>
        <w:tc>
          <w:tcPr>
            <w:tcW w:w="8935" w:type="dxa"/>
            <w:gridSpan w:val="3"/>
            <w:shd w:val="clear" w:color="auto" w:fill="auto"/>
          </w:tcPr>
          <w:p w:rsidR="0098025D" w:rsidRPr="00536F4C" w:rsidP="007D1F61" w14:paraId="7E3E7CC5" w14:textId="46B518DE">
            <w:pPr>
              <w:rPr>
                <w:rFonts w:ascii="Calibri" w:eastAsia="Calibri" w:hAnsi="Calibri" w:cs="Calibri"/>
                <w:b/>
                <w:bCs/>
                <w:spacing w:val="-6"/>
                <w:position w:val="1"/>
                <w:sz w:val="24"/>
                <w:lang w:val="en-GB"/>
              </w:rPr>
            </w:pPr>
            <w:r w:rsidRPr="00536F4C">
              <w:rPr>
                <w:noProof/>
                <w:lang w:val="fr-FR" w:eastAsia="zh-CN"/>
              </w:rPr>
              <w:drawing>
                <wp:anchor distT="0" distB="0" distL="114300" distR="114300" simplePos="0" relativeHeight="251659264" behindDoc="0" locked="0" layoutInCell="1" allowOverlap="1">
                  <wp:simplePos x="0" y="0"/>
                  <wp:positionH relativeFrom="column">
                    <wp:posOffset>-1725930</wp:posOffset>
                  </wp:positionH>
                  <wp:positionV relativeFrom="paragraph">
                    <wp:posOffset>-13335</wp:posOffset>
                  </wp:positionV>
                  <wp:extent cx="1952625" cy="762635"/>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rcRect r="2451"/>
                          <a:stretch>
                            <a:fillRect/>
                          </a:stretch>
                        </pic:blipFill>
                        <pic:spPr bwMode="auto">
                          <a:xfrm>
                            <a:off x="0" y="0"/>
                            <a:ext cx="1952625" cy="7626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8025D" w:rsidP="007D1F61" w14:paraId="3ED69B5C" w14:textId="77777777">
            <w:pPr>
              <w:spacing w:line="276" w:lineRule="auto"/>
              <w:ind w:left="463"/>
              <w:rPr>
                <w:lang w:val="en-GB"/>
              </w:rPr>
            </w:pPr>
            <w:r w:rsidRPr="00536F4C">
              <w:rPr>
                <w:rFonts w:ascii="Calibri" w:eastAsia="Calibri" w:hAnsi="Calibri" w:cs="Calibri"/>
                <w:b/>
                <w:bCs/>
                <w:spacing w:val="-6"/>
                <w:position w:val="1"/>
                <w:sz w:val="24"/>
                <w:lang w:val="en-GB"/>
              </w:rPr>
              <w:t>What investment strategy does this financial product follow?</w:t>
            </w:r>
            <w:r w:rsidRPr="00536F4C">
              <w:rPr>
                <w:lang w:val="en-GB"/>
              </w:rPr>
              <w:t xml:space="preserve"> </w:t>
            </w:r>
          </w:p>
          <w:p w:rsidR="009219A4" w:rsidP="007D1F61" w14:paraId="55E46EFE" w14:textId="77777777">
            <w:pPr>
              <w:spacing w:line="276" w:lineRule="auto"/>
              <w:ind w:left="463"/>
              <w:rPr>
                <w:lang w:val="en-GB"/>
              </w:rPr>
            </w:pPr>
          </w:p>
          <w:p w:rsidR="009219A4" w:rsidRPr="009219A4" w:rsidP="009219A4" w14:paraId="36FAC7D3" w14:textId="236E56B6">
            <w:pPr>
              <w:spacing w:line="276" w:lineRule="auto"/>
              <w:ind w:left="463"/>
              <w:rPr>
                <w:rFonts w:ascii="Calibri" w:hAnsi="Calibri" w:cs="Calibri"/>
                <w:bCs/>
                <w:sz w:val="22"/>
                <w:szCs w:val="22"/>
                <w:lang w:val="fr-FR"/>
              </w:rPr>
            </w:pPr>
            <w:r w:rsidRPr="009219A4">
              <w:rPr>
                <w:rFonts w:ascii="Calibri" w:hAnsi="Calibri" w:cs="Calibri"/>
                <w:sz w:val="22"/>
                <w:szCs w:val="22"/>
                <w:lang w:val="en-GB"/>
              </w:rPr>
              <w:t>To track the performance of STOXX EUROPE 600 ESG+ index (the "Index"), and to minimize the tracking error between the net asset value of the sub-fund and the performance of the Index.</w:t>
              <w:cr/>
              <w:t>
</w:t>
              <w:cr/>
              <w:t>
STOXX EUROPE 600 ESG+ index is an equity index based on Stoxx Europe 600 - representing the 600 leading securities of European developed countries (the "Parent Index") that applies a set of sector exclusion and ESG performance screen for security eligibility and targets a total selection of 80% of the number of securities from the Parent Index.</w:t>
            </w:r>
          </w:p>
          <w:p w:rsidR="009219A4" w:rsidRPr="00536F4C" w:rsidP="007D1F61" w14:paraId="44C75650" w14:textId="23B3AA83">
            <w:pPr>
              <w:spacing w:line="276" w:lineRule="auto"/>
              <w:ind w:left="463"/>
              <w:rPr>
                <w:lang w:val="en-GB"/>
              </w:rPr>
            </w:pPr>
          </w:p>
        </w:tc>
      </w:tr>
      <w:tr w14:paraId="471568FC" w14:textId="77777777" w:rsidTr="009271CA">
        <w:tblPrEx>
          <w:tblW w:w="11204" w:type="dxa"/>
          <w:tblInd w:w="-714" w:type="dxa"/>
          <w:tblLayout w:type="fixed"/>
          <w:tblLook w:val="04A0"/>
        </w:tblPrEx>
        <w:trPr>
          <w:trHeight w:val="1332"/>
        </w:trPr>
        <w:tc>
          <w:tcPr>
            <w:tcW w:w="1985" w:type="dxa"/>
            <w:vMerge w:val="restart"/>
            <w:shd w:val="clear" w:color="auto" w:fill="F2F2F2" w:themeFill="background1" w:themeFillShade="F2"/>
          </w:tcPr>
          <w:p w:rsidR="0098025D" w:rsidRPr="009271CA" w:rsidP="009271CA" w14:paraId="086F1D14" w14:textId="10BF1886">
            <w:pPr>
              <w:jc w:val="left"/>
              <w:rPr>
                <w:rFonts w:ascii="Calibri" w:eastAsia="Calibri" w:hAnsi="Calibri" w:cs="Calibri"/>
                <w:b/>
                <w:bCs/>
                <w:noProof/>
                <w:lang w:val="en-US" w:eastAsia="en-GB"/>
              </w:rPr>
            </w:pPr>
            <w:r w:rsidRPr="009271CA">
              <w:rPr>
                <w:b/>
                <w:bCs/>
                <w:lang w:val="en-US"/>
              </w:rPr>
              <w:t xml:space="preserve">The investment strategy </w:t>
            </w:r>
            <w:r w:rsidRPr="009271CA">
              <w:rPr>
                <w:lang w:val="en-US"/>
              </w:rPr>
              <w:t>guides investment decisions based on factors such as investment objectives and risk tolerance.</w:t>
            </w:r>
          </w:p>
        </w:tc>
        <w:tc>
          <w:tcPr>
            <w:tcW w:w="284" w:type="dxa"/>
          </w:tcPr>
          <w:p w:rsidR="0098025D" w:rsidRPr="00536F4C" w:rsidP="007D1F61" w14:paraId="29BB488E" w14:textId="77777777">
            <w:pPr>
              <w:rPr>
                <w:lang w:val="en-GB"/>
              </w:rPr>
            </w:pPr>
          </w:p>
        </w:tc>
        <w:tc>
          <w:tcPr>
            <w:tcW w:w="8935" w:type="dxa"/>
            <w:gridSpan w:val="3"/>
          </w:tcPr>
          <w:p w:rsidR="0098025D" w:rsidRPr="00547130" w:rsidP="007D1F61" w14:paraId="46BC765B" w14:textId="7F80F8F9">
            <w:pPr>
              <w:rPr>
                <w:rFonts w:asciiTheme="minorHAnsi" w:hAnsiTheme="minorHAnsi" w:cstheme="minorHAnsi"/>
                <w:sz w:val="22"/>
                <w:szCs w:val="22"/>
                <w:lang w:val="en-GB"/>
              </w:rPr>
            </w:pPr>
          </w:p>
        </w:tc>
      </w:tr>
      <w:tr w14:paraId="37E910C4" w14:textId="77777777" w:rsidTr="004B3615">
        <w:tblPrEx>
          <w:tblW w:w="11204" w:type="dxa"/>
          <w:tblInd w:w="-714" w:type="dxa"/>
          <w:tblLayout w:type="fixed"/>
          <w:tblLook w:val="04A0"/>
        </w:tblPrEx>
        <w:trPr>
          <w:trHeight w:val="738"/>
        </w:trPr>
        <w:tc>
          <w:tcPr>
            <w:tcW w:w="1985" w:type="dxa"/>
            <w:vMerge/>
            <w:shd w:val="clear" w:color="auto" w:fill="F2F2F2" w:themeFill="background1" w:themeFillShade="F2"/>
          </w:tcPr>
          <w:p w:rsidR="0098025D" w:rsidRPr="00536F4C" w:rsidP="007D1F61" w14:paraId="344F2659" w14:textId="6231924C">
            <w:pPr>
              <w:rPr>
                <w:rFonts w:ascii="Calibri" w:eastAsia="Calibri" w:hAnsi="Calibri" w:cs="Calibri"/>
                <w:b/>
                <w:bCs/>
                <w:noProof/>
                <w:lang w:val="en-GB" w:eastAsia="en-GB"/>
              </w:rPr>
            </w:pPr>
          </w:p>
        </w:tc>
        <w:tc>
          <w:tcPr>
            <w:tcW w:w="284" w:type="dxa"/>
          </w:tcPr>
          <w:p w:rsidR="0098025D" w:rsidRPr="00536F4C" w:rsidP="007D1F61" w14:paraId="5B7EE5E5" w14:textId="38007AA6">
            <w:pPr>
              <w:rPr>
                <w:lang w:val="en-GB"/>
              </w:rPr>
            </w:pPr>
          </w:p>
        </w:tc>
        <w:tc>
          <w:tcPr>
            <w:tcW w:w="8935" w:type="dxa"/>
            <w:gridSpan w:val="3"/>
          </w:tcPr>
          <w:p w:rsidR="0098025D" w:rsidRPr="00823F26" w:rsidP="007D1F61" w14:paraId="5BE694D8" w14:textId="2EE21146">
            <w:pPr>
              <w:pStyle w:val="ListParagraph"/>
              <w:numPr>
                <w:ilvl w:val="1"/>
                <w:numId w:val="3"/>
              </w:numPr>
              <w:tabs>
                <w:tab w:val="num" w:pos="1560"/>
              </w:tabs>
              <w:spacing w:after="0"/>
              <w:ind w:left="179" w:hanging="283"/>
              <w:jc w:val="both"/>
              <w:rPr>
                <w:rFonts w:ascii="Calibri" w:eastAsia="Calibri" w:hAnsi="Calibri" w:cs="Calibri"/>
                <w:b/>
                <w:bCs/>
                <w:i/>
                <w:spacing w:val="-6"/>
                <w:position w:val="1"/>
                <w:lang w:val="en-GB"/>
              </w:rPr>
            </w:pPr>
            <w:r w:rsidRPr="00823F26">
              <w:rPr>
                <w:rFonts w:ascii="Calibri" w:eastAsia="Calibri" w:hAnsi="Calibri" w:cs="Calibri"/>
                <w:b/>
                <w:bCs/>
                <w:i/>
                <w:spacing w:val="-6"/>
                <w:position w:val="1"/>
                <w:lang w:val="en-GB"/>
              </w:rPr>
              <w:t>What are the binding elements of the investment strategy used to select the investments to attain each of the environmental or social characteristics promoted by this financial product?</w:t>
            </w:r>
          </w:p>
        </w:tc>
      </w:tr>
      <w:tr w14:paraId="3DC9344E" w14:textId="77777777" w:rsidTr="00521AB7">
        <w:tblPrEx>
          <w:tblW w:w="11204" w:type="dxa"/>
          <w:tblInd w:w="-714" w:type="dxa"/>
          <w:tblLayout w:type="fixed"/>
          <w:tblLook w:val="04A0"/>
        </w:tblPrEx>
        <w:trPr>
          <w:trHeight w:val="1056"/>
        </w:trPr>
        <w:tc>
          <w:tcPr>
            <w:tcW w:w="1985" w:type="dxa"/>
          </w:tcPr>
          <w:p w:rsidR="0098025D" w:rsidRPr="00536F4C" w:rsidP="007D1F61" w14:paraId="15E9EAC9" w14:textId="77777777">
            <w:pPr>
              <w:rPr>
                <w:rFonts w:ascii="Calibri" w:eastAsia="Calibri" w:hAnsi="Calibri" w:cs="Calibri"/>
                <w:b/>
                <w:bCs/>
                <w:noProof/>
                <w:lang w:val="en-GB" w:eastAsia="en-GB"/>
              </w:rPr>
            </w:pPr>
          </w:p>
        </w:tc>
        <w:tc>
          <w:tcPr>
            <w:tcW w:w="284" w:type="dxa"/>
          </w:tcPr>
          <w:p w:rsidR="0098025D" w:rsidRPr="00536F4C" w:rsidP="007D1F61" w14:paraId="49E0EE0C" w14:textId="77777777">
            <w:pPr>
              <w:rPr>
                <w:lang w:val="en-GB"/>
              </w:rPr>
            </w:pPr>
          </w:p>
        </w:tc>
        <w:tc>
          <w:tcPr>
            <w:tcW w:w="8935" w:type="dxa"/>
            <w:gridSpan w:val="3"/>
          </w:tcPr>
          <w:p w:rsidR="00B546C5" w:rsidP="00117CF0" w14:paraId="25BF46D8" w14:textId="77777777">
            <w:pPr>
              <w:pStyle w:val="ListParagraph"/>
              <w:tabs>
                <w:tab w:val="num" w:pos="1560"/>
              </w:tabs>
              <w:spacing w:after="0"/>
              <w:ind w:left="463"/>
              <w:jc w:val="both"/>
              <w:rPr>
                <w:noProof/>
                <w:sz w:val="20"/>
                <w:szCs w:val="20"/>
                <w:lang w:val="en-GB" w:eastAsia="fr-LU"/>
              </w:rPr>
            </w:pPr>
          </w:p>
          <w:p w:rsidR="0098025D" w:rsidP="00117CF0" w14:paraId="0DBD3C81" w14:textId="77777777">
            <w:pPr>
              <w:pStyle w:val="ListParagraph"/>
              <w:tabs>
                <w:tab w:val="num" w:pos="1560"/>
              </w:tabs>
              <w:spacing w:after="0"/>
              <w:ind w:left="463"/>
              <w:jc w:val="both"/>
              <w:rPr>
                <w:rFonts w:ascii="Calibri" w:eastAsia="Calibri" w:hAnsi="Calibri" w:cs="Calibri"/>
                <w:iCs/>
                <w:spacing w:val="-6"/>
                <w:position w:val="1"/>
                <w:sz w:val="20"/>
                <w:szCs w:val="20"/>
                <w:lang w:val="en-GB"/>
              </w:rPr>
            </w:pPr>
            <w:r w:rsidRPr="00775CB7">
              <w:rPr>
                <w:noProof/>
                <w:sz w:val="20"/>
                <w:szCs w:val="20"/>
                <w:lang w:val="en-GB" w:eastAsia="fr-LU"/>
              </w:rPr>
              <w:t xml:space="preserve"> </w:t>
            </w:r>
            <w:r w:rsidRPr="00775CB7" w:rsidR="00775CB7">
              <w:rPr>
                <w:noProof/>
                <w:sz w:val="20"/>
                <w:szCs w:val="20"/>
                <w:lang w:val="en-GB" w:eastAsia="fr-LU"/>
              </w:rPr>
              <w:t xml:space="preserve">This is a passively managed ETF. Its investment strategy is to replicate the Index while minimizing the related tracking error. </w:t>
              <w:cr/>
              <w:t>
</w:t>
              <w:cr/>
              <w:t>
STOXX EUROPE 600 ESG+ index is an equity index based on Stoxx Europe 600 - representing the 600 leading securities of European developed countries (the "Parent Index") that applies a set of sector exclusion and ESG performance screen for security eligibility and targets a total selection of 80% of the number of securities from the Parent Index.</w:t>
              <w:cr/>
              <w:t>
</w:t>
              <w:cr/>
              <w:t>
The applicable universe consists of the companies included in the Parent Index.</w:t>
              <w:cr/>
              <w:t>
Then the following filters are applied:</w:t>
              <w:cr/>
              <w:t>
- Companies that are non-compliant based on the ISS-ESG Norms - Based Screening assessment are excluded. Norms - Based Screening identifies companies that violate or are at risk of violating commonly accepted international norms on human rights, labor standards, environmental protection and anti-corruption established in the UN Global Compact Principles and the OECD Guidelines.</w:t>
              <w:cr/>
              <w:t>
- Companies that ISS-ESG identifies to be involved in controversial activities such as controversial weapons , tobacco, thermal coal, unconventional oil &amp; gas, civilian firearms, and military contracting are not eligible for selection.</w:t>
              <w:cr/>
              <w:t>
</w:t>
              <w:cr/>
              <w:t>
The remaining securities in the selection list are allocated to the 11 ICB Industry groups according to their ICB classifications.</w:t>
              <w:cr/>
              <w:t>
</w:t>
              <w:cr/>
              <w:t>
The STOXX EUROPE 600 ESG+ index targets a total selection of 80% of the number of securities from the Parent Index. The selection is applied across all industry groups, selecting the highest scores and preserving the 80% selection ratio within each of the industry groups.</w:t>
              <w:cr/>
              <w:t>
</w:t>
              <w:cr/>
              <w:t>
The eligible securities in the selection list are ranked in descending order of their ISS ESG Corporate Rating within the 11 ICB Industry groups. In the event that two companies for a given industry group have the same  ISS ESG Corporate Rating, priority is given to the company with the highest free float market capitalization.</w:t>
              <w:cr/>
              <w:t>
</w:t>
              <w:cr/>
              <w:t>
Each Index component is then weighted according to the free float-adjusted market capitalization with a 10% cap.</w:t>
              <w:cr/>
              <w:t>
</w:t>
              <w:cr/>
              <w:t>
For more information on controversial activities and screen, on ICB Classification system, please refer to the Index methodology available on stoxx.com.</w:t>
              <w:cr/>
              <w:t>
</w:t>
              <w:cr/>
              <w:t>
The Product strategy is also relying on systematic exclusions policies (normative and sectorials)  as further described in Amundi Responsible Investment policy.</w:t>
            </w:r>
          </w:p>
          <w:p w:rsidR="000F3D10" w:rsidRPr="00775CB7" w:rsidP="00117CF0" w14:paraId="551911B5" w14:textId="11A54E65">
            <w:pPr>
              <w:pStyle w:val="ListParagraph"/>
              <w:tabs>
                <w:tab w:val="num" w:pos="1560"/>
              </w:tabs>
              <w:spacing w:after="0"/>
              <w:ind w:left="463"/>
              <w:jc w:val="both"/>
              <w:rPr>
                <w:rFonts w:ascii="Calibri" w:eastAsia="Calibri" w:hAnsi="Calibri" w:cs="Calibri"/>
                <w:iCs/>
                <w:spacing w:val="-6"/>
                <w:position w:val="1"/>
                <w:sz w:val="20"/>
                <w:szCs w:val="20"/>
                <w:lang w:val="en-GB"/>
              </w:rPr>
            </w:pPr>
          </w:p>
        </w:tc>
      </w:tr>
      <w:tr w14:paraId="3C2096E5" w14:textId="77777777" w:rsidTr="009271CA">
        <w:tblPrEx>
          <w:tblW w:w="11204" w:type="dxa"/>
          <w:tblInd w:w="-714" w:type="dxa"/>
          <w:tblLayout w:type="fixed"/>
          <w:tblLook w:val="04A0"/>
        </w:tblPrEx>
        <w:trPr>
          <w:trHeight w:val="935"/>
        </w:trPr>
        <w:tc>
          <w:tcPr>
            <w:tcW w:w="1985" w:type="dxa"/>
            <w:vMerge w:val="restart"/>
            <w:shd w:val="clear" w:color="auto" w:fill="F2F2F2" w:themeFill="background1" w:themeFillShade="F2"/>
          </w:tcPr>
          <w:p w:rsidR="0098025D" w:rsidRPr="009271CA" w:rsidP="009271CA" w14:paraId="1C0DED65" w14:textId="68B59F5E">
            <w:pPr>
              <w:jc w:val="left"/>
              <w:rPr>
                <w:rFonts w:ascii="Calibri" w:eastAsia="Calibri" w:hAnsi="Calibri" w:cs="Calibri"/>
                <w:b/>
                <w:bCs/>
                <w:noProof/>
                <w:lang w:val="en-US" w:eastAsia="en-GB"/>
              </w:rPr>
            </w:pPr>
            <w:r w:rsidRPr="009271CA">
              <w:rPr>
                <w:b/>
                <w:bCs/>
                <w:lang w:val="en-US"/>
              </w:rPr>
              <w:t xml:space="preserve">Good governance </w:t>
            </w:r>
            <w:r w:rsidRPr="009271CA">
              <w:rPr>
                <w:lang w:val="en-US"/>
              </w:rPr>
              <w:t>practices include sound management structures, employee relations, remuneration of staff and tax compliance.</w:t>
            </w:r>
          </w:p>
        </w:tc>
        <w:tc>
          <w:tcPr>
            <w:tcW w:w="284" w:type="dxa"/>
          </w:tcPr>
          <w:p w:rsidR="0098025D" w:rsidRPr="00536F4C" w:rsidP="007D1F61" w14:paraId="5D59038C" w14:textId="77777777">
            <w:pPr>
              <w:rPr>
                <w:lang w:val="en-GB"/>
              </w:rPr>
            </w:pPr>
          </w:p>
        </w:tc>
        <w:tc>
          <w:tcPr>
            <w:tcW w:w="8935" w:type="dxa"/>
            <w:gridSpan w:val="3"/>
          </w:tcPr>
          <w:p w:rsidR="0098025D" w:rsidRPr="009219A4" w:rsidP="007D1F61" w14:paraId="6E22F2C5" w14:textId="77777777">
            <w:pPr>
              <w:pStyle w:val="ListParagraph"/>
              <w:numPr>
                <w:ilvl w:val="1"/>
                <w:numId w:val="3"/>
              </w:numPr>
              <w:tabs>
                <w:tab w:val="num" w:pos="1560"/>
              </w:tabs>
              <w:spacing w:after="0"/>
              <w:ind w:left="179" w:hanging="283"/>
              <w:jc w:val="both"/>
              <w:rPr>
                <w:i/>
                <w:color w:val="C00000"/>
                <w:sz w:val="18"/>
                <w:lang w:val="en-GB"/>
              </w:rPr>
            </w:pPr>
            <w:r w:rsidRPr="00823F26">
              <w:rPr>
                <w:rFonts w:ascii="Calibri" w:eastAsia="Calibri" w:hAnsi="Calibri" w:cs="Calibri"/>
                <w:b/>
                <w:bCs/>
                <w:i/>
                <w:spacing w:val="-6"/>
                <w:position w:val="1"/>
                <w:lang w:val="en-GB"/>
              </w:rPr>
              <w:t>What is the committed minimum rate to reduce the scope of the investments considered prior to the application of that investment strategy?</w:t>
            </w:r>
            <w:r w:rsidRPr="00536F4C">
              <w:rPr>
                <w:lang w:val="en-GB"/>
              </w:rPr>
              <w:t xml:space="preserve"> </w:t>
            </w:r>
          </w:p>
          <w:p w:rsidR="009219A4" w:rsidRPr="00536F4C" w:rsidP="009219A4" w14:paraId="3AE9F31E" w14:textId="29384104">
            <w:pPr>
              <w:pStyle w:val="ListParagraph"/>
              <w:tabs>
                <w:tab w:val="num" w:pos="1560"/>
              </w:tabs>
              <w:spacing w:after="0"/>
              <w:ind w:left="179"/>
              <w:jc w:val="both"/>
              <w:rPr>
                <w:i/>
                <w:color w:val="C00000"/>
                <w:sz w:val="18"/>
                <w:lang w:val="en-GB"/>
              </w:rPr>
            </w:pPr>
          </w:p>
        </w:tc>
      </w:tr>
      <w:tr w14:paraId="52754FE0" w14:textId="77777777" w:rsidTr="009271CA">
        <w:tblPrEx>
          <w:tblW w:w="11204" w:type="dxa"/>
          <w:tblInd w:w="-714" w:type="dxa"/>
          <w:tblLayout w:type="fixed"/>
          <w:tblLook w:val="04A0"/>
        </w:tblPrEx>
        <w:trPr>
          <w:trHeight w:val="1399"/>
        </w:trPr>
        <w:tc>
          <w:tcPr>
            <w:tcW w:w="1985" w:type="dxa"/>
            <w:vMerge/>
            <w:shd w:val="clear" w:color="auto" w:fill="F2F2F2" w:themeFill="background1" w:themeFillShade="F2"/>
          </w:tcPr>
          <w:p w:rsidR="0098025D" w:rsidRPr="00536F4C" w:rsidP="007D1F61" w14:paraId="57387D75" w14:textId="5592DBBB">
            <w:pPr>
              <w:rPr>
                <w:rFonts w:ascii="Calibri" w:eastAsia="Calibri" w:hAnsi="Calibri" w:cs="Calibri"/>
                <w:b/>
                <w:bCs/>
                <w:noProof/>
                <w:lang w:val="en-GB" w:eastAsia="en-GB"/>
              </w:rPr>
            </w:pPr>
          </w:p>
        </w:tc>
        <w:tc>
          <w:tcPr>
            <w:tcW w:w="284" w:type="dxa"/>
          </w:tcPr>
          <w:p w:rsidR="0098025D" w:rsidRPr="00536F4C" w:rsidP="007D1F61" w14:paraId="2D31CC18" w14:textId="77777777">
            <w:pPr>
              <w:rPr>
                <w:lang w:val="en-GB"/>
              </w:rPr>
            </w:pPr>
          </w:p>
        </w:tc>
        <w:tc>
          <w:tcPr>
            <w:tcW w:w="8935" w:type="dxa"/>
            <w:gridSpan w:val="3"/>
          </w:tcPr>
          <w:p w:rsidR="0098025D" w:rsidP="00775CB7" w14:paraId="0CDC0472" w14:textId="77777777">
            <w:pPr>
              <w:pStyle w:val="ListParagraph"/>
              <w:tabs>
                <w:tab w:val="num" w:pos="1560"/>
              </w:tabs>
              <w:spacing w:after="0"/>
              <w:ind w:left="321"/>
              <w:jc w:val="both"/>
              <w:rPr>
                <w:noProof/>
                <w:sz w:val="20"/>
                <w:lang w:val="en-GB" w:eastAsia="fr-LU"/>
              </w:rPr>
            </w:pPr>
            <w:r w:rsidRPr="00775CB7">
              <w:rPr>
                <w:noProof/>
                <w:sz w:val="20"/>
                <w:lang w:val="en-GB" w:eastAsia="fr-LU"/>
              </w:rPr>
              <w:t>There is no committed minimum rate to reduce the scope of the investments considered prior to the application of that investment strategy.</w:t>
            </w:r>
          </w:p>
          <w:p w:rsidR="00D04CC4" w:rsidRPr="00775CB7" w:rsidP="00775CB7" w14:paraId="6A6F7F58" w14:textId="69CD87B4">
            <w:pPr>
              <w:pStyle w:val="ListParagraph"/>
              <w:tabs>
                <w:tab w:val="num" w:pos="1560"/>
              </w:tabs>
              <w:spacing w:after="0"/>
              <w:ind w:left="321"/>
              <w:jc w:val="both"/>
              <w:rPr>
                <w:rFonts w:ascii="Calibri" w:eastAsia="Calibri" w:hAnsi="Calibri" w:cs="Calibri"/>
                <w:iCs/>
                <w:spacing w:val="-6"/>
                <w:position w:val="1"/>
                <w:lang w:val="en-GB"/>
              </w:rPr>
            </w:pPr>
          </w:p>
        </w:tc>
      </w:tr>
      <w:tr w14:paraId="1429B2C5" w14:textId="77777777" w:rsidTr="00521AB7">
        <w:tblPrEx>
          <w:tblW w:w="11204" w:type="dxa"/>
          <w:tblInd w:w="-714" w:type="dxa"/>
          <w:tblLayout w:type="fixed"/>
          <w:tblLook w:val="04A0"/>
        </w:tblPrEx>
        <w:trPr>
          <w:trHeight w:val="575"/>
        </w:trPr>
        <w:tc>
          <w:tcPr>
            <w:tcW w:w="1985" w:type="dxa"/>
          </w:tcPr>
          <w:p w:rsidR="0098025D" w:rsidRPr="00536F4C" w:rsidP="007D1F61" w14:paraId="1E71C542" w14:textId="785E2E09">
            <w:pPr>
              <w:rPr>
                <w:rFonts w:ascii="Calibri" w:eastAsia="Calibri" w:hAnsi="Calibri" w:cs="Calibri"/>
                <w:b/>
                <w:bCs/>
                <w:noProof/>
                <w:lang w:val="en-GB" w:eastAsia="en-GB"/>
              </w:rPr>
            </w:pPr>
          </w:p>
        </w:tc>
        <w:tc>
          <w:tcPr>
            <w:tcW w:w="284" w:type="dxa"/>
          </w:tcPr>
          <w:p w:rsidR="0098025D" w:rsidRPr="00536F4C" w:rsidP="007D1F61" w14:paraId="0DA92EC0" w14:textId="77777777">
            <w:pPr>
              <w:rPr>
                <w:lang w:val="en-GB"/>
              </w:rPr>
            </w:pPr>
          </w:p>
        </w:tc>
        <w:tc>
          <w:tcPr>
            <w:tcW w:w="8935" w:type="dxa"/>
            <w:gridSpan w:val="3"/>
          </w:tcPr>
          <w:p w:rsidR="0098025D" w:rsidRPr="00823F26" w:rsidP="007D1F61" w14:paraId="2E7330F3" w14:textId="0B0A1F6A">
            <w:pPr>
              <w:pStyle w:val="ListParagraph"/>
              <w:numPr>
                <w:ilvl w:val="1"/>
                <w:numId w:val="3"/>
              </w:numPr>
              <w:tabs>
                <w:tab w:val="num" w:pos="1560"/>
                <w:tab w:val="left" w:pos="2546"/>
              </w:tabs>
              <w:spacing w:after="0"/>
              <w:ind w:left="179" w:hanging="283"/>
              <w:jc w:val="both"/>
              <w:rPr>
                <w:rFonts w:ascii="Calibri" w:eastAsia="Calibri" w:hAnsi="Calibri" w:cs="Calibri"/>
                <w:b/>
                <w:bCs/>
                <w:i/>
                <w:spacing w:val="-6"/>
                <w:position w:val="1"/>
                <w:lang w:val="en-GB"/>
              </w:rPr>
            </w:pPr>
            <w:r w:rsidRPr="00823F26">
              <w:rPr>
                <w:rFonts w:ascii="Calibri" w:eastAsia="Calibri" w:hAnsi="Calibri" w:cs="Calibri"/>
                <w:b/>
                <w:bCs/>
                <w:i/>
                <w:spacing w:val="-6"/>
                <w:position w:val="1"/>
                <w:lang w:val="en-GB"/>
              </w:rPr>
              <w:t>What is the policy to assess good governance practices of the investee companies?</w:t>
            </w:r>
            <w:r w:rsidR="007A5042">
              <w:rPr>
                <w:i/>
                <w:color w:val="C00000"/>
                <w:sz w:val="18"/>
                <w:lang w:val="en-GB"/>
              </w:rPr>
              <w:t xml:space="preserve"> </w:t>
            </w:r>
          </w:p>
        </w:tc>
      </w:tr>
      <w:tr w14:paraId="641D7724" w14:textId="77777777" w:rsidTr="0052757A">
        <w:tblPrEx>
          <w:tblW w:w="11204" w:type="dxa"/>
          <w:tblInd w:w="-714" w:type="dxa"/>
          <w:tblLayout w:type="fixed"/>
          <w:tblLook w:val="04A0"/>
        </w:tblPrEx>
        <w:trPr>
          <w:trHeight w:val="1263"/>
        </w:trPr>
        <w:tc>
          <w:tcPr>
            <w:tcW w:w="1985" w:type="dxa"/>
          </w:tcPr>
          <w:p w:rsidR="0098025D" w:rsidRPr="00536F4C" w:rsidP="007D1F61" w14:paraId="4949488C" w14:textId="0E1C75D2">
            <w:pPr>
              <w:rPr>
                <w:rFonts w:ascii="Calibri" w:eastAsia="Calibri" w:hAnsi="Calibri" w:cs="Calibri"/>
                <w:b/>
                <w:bCs/>
                <w:noProof/>
                <w:lang w:val="en-GB" w:eastAsia="en-GB"/>
              </w:rPr>
            </w:pPr>
          </w:p>
        </w:tc>
        <w:tc>
          <w:tcPr>
            <w:tcW w:w="284" w:type="dxa"/>
          </w:tcPr>
          <w:p w:rsidR="0098025D" w:rsidRPr="00536F4C" w:rsidP="007D1F61" w14:paraId="1B71088A" w14:textId="77777777">
            <w:pPr>
              <w:rPr>
                <w:lang w:val="en-GB"/>
              </w:rPr>
            </w:pPr>
          </w:p>
        </w:tc>
        <w:tc>
          <w:tcPr>
            <w:tcW w:w="8935" w:type="dxa"/>
            <w:gridSpan w:val="3"/>
          </w:tcPr>
          <w:p w:rsidR="009219A4" w:rsidP="00775CB7" w14:paraId="5377065B" w14:textId="77777777">
            <w:pPr>
              <w:pStyle w:val="ListParagraph"/>
              <w:tabs>
                <w:tab w:val="num" w:pos="1560"/>
              </w:tabs>
              <w:spacing w:after="0"/>
              <w:ind w:left="321"/>
              <w:jc w:val="both"/>
              <w:rPr>
                <w:noProof/>
                <w:sz w:val="20"/>
                <w:lang w:val="en-GB" w:eastAsia="fr-LU"/>
              </w:rPr>
            </w:pPr>
            <w:r w:rsidRPr="00775CB7">
              <w:rPr>
                <w:noProof/>
                <w:sz w:val="20"/>
                <w:lang w:val="en-GB" w:eastAsia="fr-LU"/>
              </w:rPr>
              <w:t>We rely on Amundi ESG scoring methodology. Amundi’s ESG scoring is based on a proprietary ESG analysis framework, which accounts for 38 general and sector-specific criteria, including governance criteria. In the Governance dimension, we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w:t>
              <w:cr/>
              <w:t>
</w:t>
              <w:cr/>
              <w:t>
Amundi ESG Rating scale contains seven grades, ranging from A to G, where A is the best and G the worst rating. G-rated companies are excluded from our investment universe.</w:t>
            </w:r>
          </w:p>
          <w:p w:rsidR="00E1216E" w:rsidP="00775CB7" w14:paraId="452BFED0" w14:textId="77777777">
            <w:pPr>
              <w:pStyle w:val="ListParagraph"/>
              <w:tabs>
                <w:tab w:val="num" w:pos="1560"/>
              </w:tabs>
              <w:spacing w:after="0"/>
              <w:ind w:left="321"/>
              <w:jc w:val="both"/>
              <w:rPr>
                <w:noProof/>
                <w:sz w:val="20"/>
                <w:lang w:val="en-GB" w:eastAsia="fr-LU"/>
              </w:rPr>
            </w:pPr>
          </w:p>
          <w:p w:rsidR="00E1216E" w:rsidP="00775CB7" w14:paraId="4D0B558F" w14:textId="77777777">
            <w:pPr>
              <w:pStyle w:val="ListParagraph"/>
              <w:tabs>
                <w:tab w:val="num" w:pos="1560"/>
              </w:tabs>
              <w:spacing w:after="0"/>
              <w:ind w:left="321"/>
              <w:jc w:val="both"/>
              <w:rPr>
                <w:noProof/>
                <w:sz w:val="20"/>
                <w:lang w:val="en-GB" w:eastAsia="fr-LU"/>
              </w:rPr>
            </w:pPr>
          </w:p>
          <w:p w:rsidR="00E1216E" w:rsidRPr="00775CB7" w:rsidP="00775CB7" w14:paraId="5A615C44" w14:textId="43DB3EF7">
            <w:pPr>
              <w:pStyle w:val="ListParagraph"/>
              <w:tabs>
                <w:tab w:val="num" w:pos="1560"/>
              </w:tabs>
              <w:spacing w:after="0"/>
              <w:ind w:left="321"/>
              <w:jc w:val="both"/>
              <w:rPr>
                <w:noProof/>
                <w:sz w:val="20"/>
                <w:lang w:val="en-GB" w:eastAsia="fr-LU"/>
              </w:rPr>
            </w:pPr>
          </w:p>
        </w:tc>
      </w:tr>
      <w:tr w14:paraId="08ED3332" w14:textId="77777777" w:rsidTr="0052757A">
        <w:tblPrEx>
          <w:tblW w:w="11204" w:type="dxa"/>
          <w:tblInd w:w="-714" w:type="dxa"/>
          <w:tblLayout w:type="fixed"/>
          <w:tblLook w:val="04A0"/>
        </w:tblPrEx>
        <w:trPr>
          <w:trHeight w:val="417"/>
        </w:trPr>
        <w:tc>
          <w:tcPr>
            <w:tcW w:w="1985" w:type="dxa"/>
            <w:vMerge w:val="restart"/>
            <w:shd w:val="clear" w:color="auto" w:fill="F2F2F2" w:themeFill="background1" w:themeFillShade="F2"/>
          </w:tcPr>
          <w:p w:rsidR="0052757A" w:rsidP="007D1F61" w14:paraId="3A7810A7" w14:textId="74AB3CEA">
            <w:pPr>
              <w:rPr>
                <w:rFonts w:ascii="Calibri" w:eastAsia="Calibri" w:hAnsi="Calibri" w:cs="Calibri"/>
                <w:b/>
                <w:bCs/>
                <w:noProof/>
                <w:lang w:val="en-GB" w:eastAsia="en-GB"/>
              </w:rPr>
            </w:pPr>
            <w:r>
              <w:rPr>
                <w:noProof/>
                <w:lang w:val="fr-FR" w:eastAsia="zh-CN"/>
              </w:rPr>
              <w:drawing>
                <wp:anchor distT="0" distB="0" distL="114300" distR="114300" simplePos="0" relativeHeight="251702272" behindDoc="0" locked="0" layoutInCell="1" allowOverlap="1">
                  <wp:simplePos x="0" y="0"/>
                  <wp:positionH relativeFrom="column">
                    <wp:posOffset>-352797</wp:posOffset>
                  </wp:positionH>
                  <wp:positionV relativeFrom="paragraph">
                    <wp:posOffset>-163218</wp:posOffset>
                  </wp:positionV>
                  <wp:extent cx="2062664" cy="719426"/>
                  <wp:effectExtent l="0" t="0" r="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2062664" cy="719426"/>
                          </a:xfrm>
                          <a:prstGeom prst="rect">
                            <a:avLst/>
                          </a:prstGeom>
                        </pic:spPr>
                      </pic:pic>
                    </a:graphicData>
                  </a:graphic>
                  <wp14:sizeRelH relativeFrom="margin">
                    <wp14:pctWidth>0</wp14:pctWidth>
                  </wp14:sizeRelH>
                  <wp14:sizeRelV relativeFrom="margin">
                    <wp14:pctHeight>0</wp14:pctHeight>
                  </wp14:sizeRelV>
                </wp:anchor>
              </w:drawing>
            </w:r>
          </w:p>
          <w:p w:rsidR="0052757A" w:rsidP="007D1F61" w14:paraId="1134B40D" w14:textId="6DF3CFB5">
            <w:pPr>
              <w:rPr>
                <w:rFonts w:ascii="Calibri" w:eastAsia="Calibri" w:hAnsi="Calibri" w:cs="Calibri"/>
                <w:b/>
                <w:bCs/>
                <w:noProof/>
                <w:lang w:val="en-GB" w:eastAsia="en-GB"/>
              </w:rPr>
            </w:pPr>
          </w:p>
          <w:p w:rsidR="0052757A" w:rsidP="007D1F61" w14:paraId="548F29D8" w14:textId="06296AE7">
            <w:pPr>
              <w:rPr>
                <w:rFonts w:ascii="Calibri" w:eastAsia="Calibri" w:hAnsi="Calibri" w:cs="Calibri"/>
                <w:b/>
                <w:bCs/>
                <w:noProof/>
                <w:lang w:val="en-GB" w:eastAsia="en-GB"/>
              </w:rPr>
            </w:pPr>
          </w:p>
          <w:p w:rsidR="0052757A" w:rsidP="007D1F61" w14:paraId="5DE10D1A" w14:textId="77777777">
            <w:pPr>
              <w:rPr>
                <w:rFonts w:ascii="Calibri" w:eastAsia="Calibri" w:hAnsi="Calibri" w:cs="Calibri"/>
                <w:b/>
                <w:bCs/>
                <w:noProof/>
                <w:lang w:val="en-GB" w:eastAsia="en-GB"/>
              </w:rPr>
            </w:pPr>
          </w:p>
          <w:p w:rsidR="0098025D" w:rsidRPr="0052757A" w:rsidP="0052757A" w14:paraId="0AFABE22" w14:textId="68A3E8CB">
            <w:pPr>
              <w:jc w:val="left"/>
              <w:rPr>
                <w:rFonts w:ascii="Calibri" w:eastAsia="Calibri" w:hAnsi="Calibri" w:cs="Calibri"/>
                <w:b/>
                <w:bCs/>
                <w:noProof/>
                <w:lang w:val="en-US" w:eastAsia="en-GB"/>
              </w:rPr>
            </w:pPr>
            <w:r w:rsidRPr="0052757A">
              <w:rPr>
                <w:b/>
                <w:bCs/>
                <w:shd w:val="clear" w:color="auto" w:fill="F2F2F2" w:themeFill="background1" w:themeFillShade="F2"/>
                <w:lang w:val="en-US"/>
              </w:rPr>
              <w:t xml:space="preserve">Asset allocation </w:t>
            </w:r>
            <w:r w:rsidRPr="0052757A">
              <w:rPr>
                <w:shd w:val="clear" w:color="auto" w:fill="F2F2F2" w:themeFill="background1" w:themeFillShade="F2"/>
                <w:lang w:val="en-US"/>
              </w:rPr>
              <w:t>describes the share of investments in specific assets.</w:t>
            </w:r>
          </w:p>
        </w:tc>
        <w:tc>
          <w:tcPr>
            <w:tcW w:w="284" w:type="dxa"/>
            <w:vMerge w:val="restart"/>
          </w:tcPr>
          <w:p w:rsidR="0098025D" w:rsidRPr="00536F4C" w:rsidP="007D1F61" w14:paraId="505CDEF0" w14:textId="589A6731">
            <w:pPr>
              <w:rPr>
                <w:lang w:val="en-GB"/>
              </w:rPr>
            </w:pPr>
          </w:p>
        </w:tc>
        <w:tc>
          <w:tcPr>
            <w:tcW w:w="8935" w:type="dxa"/>
            <w:gridSpan w:val="3"/>
          </w:tcPr>
          <w:p w:rsidR="0098025D" w:rsidRPr="00536F4C" w:rsidP="007D1F61" w14:paraId="15E18D0F" w14:textId="1E63C967">
            <w:pPr>
              <w:ind w:firstLine="463"/>
              <w:rPr>
                <w:rFonts w:ascii="Calibri" w:eastAsia="Calibri" w:hAnsi="Calibri" w:cs="Calibri"/>
                <w:b/>
                <w:bCs/>
                <w:spacing w:val="-6"/>
                <w:position w:val="1"/>
                <w:sz w:val="24"/>
                <w:lang w:val="en-GB"/>
              </w:rPr>
            </w:pPr>
            <w:r w:rsidRPr="00536F4C">
              <w:rPr>
                <w:rFonts w:ascii="Calibri" w:eastAsia="Calibri" w:hAnsi="Calibri" w:cs="Calibri"/>
                <w:b/>
                <w:bCs/>
                <w:spacing w:val="-6"/>
                <w:position w:val="1"/>
                <w:sz w:val="24"/>
                <w:lang w:val="en-GB"/>
              </w:rPr>
              <w:t>What is the asset allocation planned for this financial product?</w:t>
            </w:r>
            <w:r w:rsidR="0046373C">
              <w:rPr>
                <w:rFonts w:ascii="Calibri" w:eastAsia="Calibri" w:hAnsi="Calibri" w:cs="Calibri"/>
                <w:b/>
                <w:bCs/>
                <w:spacing w:val="-6"/>
                <w:position w:val="1"/>
                <w:sz w:val="24"/>
                <w:lang w:val="en-GB"/>
              </w:rPr>
              <w:t xml:space="preserve"> </w:t>
            </w:r>
          </w:p>
        </w:tc>
      </w:tr>
      <w:tr w14:paraId="47368AF2" w14:textId="77777777" w:rsidTr="0052757A">
        <w:tblPrEx>
          <w:tblW w:w="11204" w:type="dxa"/>
          <w:tblInd w:w="-714" w:type="dxa"/>
          <w:tblLayout w:type="fixed"/>
          <w:tblLook w:val="04A0"/>
        </w:tblPrEx>
        <w:trPr>
          <w:trHeight w:val="1949"/>
        </w:trPr>
        <w:tc>
          <w:tcPr>
            <w:tcW w:w="1985" w:type="dxa"/>
            <w:vMerge/>
            <w:shd w:val="clear" w:color="auto" w:fill="F2F2F2" w:themeFill="background1" w:themeFillShade="F2"/>
          </w:tcPr>
          <w:p w:rsidR="0098025D" w:rsidRPr="00536F4C" w:rsidP="007D1F61" w14:paraId="2A61E4E3" w14:textId="77777777">
            <w:pPr>
              <w:rPr>
                <w:noProof/>
                <w:lang w:val="en-GB"/>
              </w:rPr>
            </w:pPr>
          </w:p>
        </w:tc>
        <w:tc>
          <w:tcPr>
            <w:tcW w:w="284" w:type="dxa"/>
            <w:vMerge/>
          </w:tcPr>
          <w:p w:rsidR="0098025D" w:rsidRPr="00536F4C" w:rsidP="007D1F61" w14:paraId="08969396" w14:textId="77777777">
            <w:pPr>
              <w:rPr>
                <w:lang w:val="en-GB"/>
              </w:rPr>
            </w:pPr>
          </w:p>
        </w:tc>
        <w:tc>
          <w:tcPr>
            <w:tcW w:w="8935" w:type="dxa"/>
            <w:gridSpan w:val="3"/>
          </w:tcPr>
          <w:p w:rsidR="0098025D" w:rsidP="007D1F61" w14:paraId="6A9679E8" w14:textId="77777777">
            <w:pPr>
              <w:ind w:firstLine="463"/>
              <w:rPr>
                <w:rFonts w:ascii="Calibri" w:eastAsia="Calibri" w:hAnsi="Calibri" w:cs="Calibri"/>
                <w:spacing w:val="-6"/>
                <w:position w:val="1"/>
                <w:sz w:val="22"/>
                <w:szCs w:val="22"/>
                <w:lang w:val="en-GB"/>
              </w:rPr>
            </w:pPr>
          </w:p>
          <w:p w:rsidR="009219A4" w:rsidP="007D1F61" w14:paraId="66D38C6F" w14:textId="77777777">
            <w:pPr>
              <w:ind w:firstLine="463"/>
              <w:rPr>
                <w:rFonts w:ascii="Calibri" w:eastAsia="Calibri" w:hAnsi="Calibri" w:cs="Calibri"/>
                <w:spacing w:val="-6"/>
                <w:position w:val="1"/>
                <w:sz w:val="22"/>
                <w:szCs w:val="22"/>
                <w:lang w:val="en-GB"/>
              </w:rPr>
            </w:pPr>
            <w:r>
              <w:rPr>
                <w:rFonts w:ascii="Calibri" w:eastAsia="Calibri" w:hAnsi="Calibri" w:cs="Calibri"/>
                <w:spacing w:val="-6"/>
                <w:position w:val="1"/>
                <w:sz w:val="22"/>
                <w:szCs w:val="22"/>
                <w:lang w:val="en-GB"/>
              </w:rPr>
              <w:t>At least 90% of the Sub-Fund’s securities and instruments will meet the promoted environmental or social characteristics in accordance with the binding elements of the Index methodology.  Furthermore, the Sub-Fund commits to have a minimum of 1% of sustainable investments as per the below chart. Investments aligned with other E/S characteristics (#1B) will represent the difference between the actual proportion of investments aligned with environmental or social characteristics (#1) and the actual proportion of sustainable investments (#1A).</w:t>
              <w:cr/>
              <w:t>
The planned proportion of other environmental investment represents a minimum of 1% (i)  and may change as the actual proportions of Taxonomy-aligned and/or Social investments increase.</w:t>
              <w:cr/>
            </w:r>
          </w:p>
          <w:p w:rsidR="00D04CC4" w:rsidRPr="002B0253" w:rsidP="007D1F61" w14:paraId="13A8A109" w14:textId="6FA34D26">
            <w:pPr>
              <w:ind w:firstLine="463"/>
              <w:rPr>
                <w:rFonts w:ascii="Calibri" w:eastAsia="Calibri" w:hAnsi="Calibri" w:cs="Calibri"/>
                <w:spacing w:val="-6"/>
                <w:position w:val="1"/>
                <w:sz w:val="22"/>
                <w:szCs w:val="22"/>
                <w:lang w:val="en-GB"/>
              </w:rPr>
            </w:pPr>
          </w:p>
        </w:tc>
      </w:tr>
    </w:tbl>
    <w:p w:rsidR="00EA6B01" w:rsidP="007D1F61" w14:paraId="7716CA9D" w14:textId="01F4E2CD">
      <w:pPr>
        <w:rPr>
          <w:rFonts w:ascii="Calibri" w:eastAsia="Calibri" w:hAnsi="Calibri" w:cs="Calibri"/>
          <w:b/>
          <w:bCs/>
          <w:noProof/>
          <w:lang w:val="en-GB" w:eastAsia="en-GB"/>
        </w:rPr>
      </w:pPr>
    </w:p>
    <w:p w:rsidR="00003366" w:rsidP="00D93E80" w14:paraId="79C74046" w14:textId="64062A37">
      <w:pPr>
        <w:rPr>
          <w:rFonts w:ascii="Calibri" w:eastAsia="Calibri" w:hAnsi="Calibri" w:cs="Calibri"/>
          <w:b/>
          <w:bCs/>
          <w:noProof/>
          <w:lang w:val="en-GB" w:eastAsia="en-GB"/>
        </w:rPr>
      </w:pPr>
    </w:p>
    <w:p w:rsidR="00235DE2" w:rsidP="00D93E80" w14:paraId="5B8E6775" w14:textId="2FD09B86">
      <w:pPr>
        <w:rPr>
          <w:rFonts w:ascii="Calibri" w:eastAsia="Calibri" w:hAnsi="Calibri" w:cs="Calibri"/>
          <w:b/>
          <w:bCs/>
          <w:noProof/>
          <w:lang w:val="en-GB" w:eastAsia="en-GB"/>
        </w:rPr>
        <w:sectPr w:rsidSect="00193F49">
          <w:headerReference w:type="even" r:id="rId13"/>
          <w:headerReference w:type="default" r:id="rId14"/>
          <w:footerReference w:type="even" r:id="rId15"/>
          <w:footerReference w:type="default" r:id="rId16"/>
          <w:headerReference w:type="first" r:id="rId17"/>
          <w:footerReference w:type="first" r:id="rId18"/>
          <w:type w:val="continuous"/>
          <w:pgSz w:w="11900" w:h="16840" w:code="9"/>
          <w:pgMar w:top="709" w:right="720" w:bottom="142" w:left="720" w:header="709" w:footer="709" w:gutter="0"/>
          <w:cols w:space="708"/>
          <w:titlePg/>
          <w:docGrid w:linePitch="360"/>
        </w:sectPr>
      </w:pPr>
    </w:p>
    <w:tbl>
      <w:tblPr>
        <w:tblStyle w:val="TableGrid"/>
        <w:tblW w:w="11346" w:type="dxa"/>
        <w:tblInd w:w="-724" w:type="dxa"/>
        <w:tblLayout w:type="fixed"/>
        <w:tblLook w:val="04A0"/>
      </w:tblPr>
      <w:tblGrid>
        <w:gridCol w:w="10"/>
        <w:gridCol w:w="1838"/>
        <w:gridCol w:w="70"/>
        <w:gridCol w:w="77"/>
        <w:gridCol w:w="196"/>
        <w:gridCol w:w="78"/>
        <w:gridCol w:w="10"/>
        <w:gridCol w:w="8935"/>
        <w:gridCol w:w="132"/>
      </w:tblGrid>
      <w:tr w14:paraId="22637064" w14:textId="77777777" w:rsidTr="007E1A95">
        <w:tblPrEx>
          <w:tblW w:w="11346" w:type="dxa"/>
          <w:tblInd w:w="-724" w:type="dxa"/>
          <w:tblLayout w:type="fixed"/>
          <w:tblLook w:val="04A0"/>
        </w:tblPrEx>
        <w:trPr>
          <w:gridBefore w:val="1"/>
          <w:gridAfter w:val="1"/>
          <w:wBefore w:w="10" w:type="dxa"/>
          <w:wAfter w:w="132" w:type="dxa"/>
          <w:trHeight w:val="3287"/>
        </w:trPr>
        <w:tc>
          <w:tcPr>
            <w:tcW w:w="1985" w:type="dxa"/>
            <w:gridSpan w:val="3"/>
            <w:vMerge w:val="restart"/>
            <w:tcBorders>
              <w:top w:val="nil"/>
              <w:left w:val="nil"/>
              <w:bottom w:val="nil"/>
              <w:right w:val="nil"/>
            </w:tcBorders>
            <w:shd w:val="clear" w:color="auto" w:fill="F2F2F2" w:themeFill="background1" w:themeFillShade="F2"/>
          </w:tcPr>
          <w:p w:rsidR="0052757A" w:rsidP="0052757A" w14:paraId="4E3D5AE8" w14:textId="54CAB67B">
            <w:pPr>
              <w:pStyle w:val="Default"/>
              <w:rPr>
                <w:rFonts w:eastAsia="Calibri"/>
                <w:b/>
                <w:bCs/>
                <w:noProof/>
                <w:lang w:val="en-GB" w:eastAsia="en-GB"/>
              </w:rPr>
            </w:pPr>
          </w:p>
          <w:p w:rsidR="0052757A" w:rsidP="0052757A" w14:paraId="2E6595B0" w14:textId="6FFE9B53">
            <w:pPr>
              <w:pStyle w:val="Default"/>
              <w:rPr>
                <w:rFonts w:ascii="Arial" w:hAnsi="Arial" w:eastAsiaTheme="minorHAnsi" w:cstheme="minorBidi"/>
                <w:color w:val="auto"/>
                <w:sz w:val="20"/>
                <w:szCs w:val="20"/>
                <w:shd w:val="clear" w:color="auto" w:fill="F2F2F2" w:themeFill="background1" w:themeFillShade="F2"/>
                <w:lang w:val="en-US" w:eastAsia="en-US"/>
              </w:rPr>
            </w:pPr>
            <w:r w:rsidRPr="0052757A">
              <w:rPr>
                <w:rFonts w:ascii="Arial" w:hAnsi="Arial" w:eastAsiaTheme="minorHAnsi" w:cstheme="minorBidi"/>
                <w:color w:val="auto"/>
                <w:sz w:val="20"/>
                <w:szCs w:val="20"/>
                <w:shd w:val="clear" w:color="auto" w:fill="F2F2F2" w:themeFill="background1" w:themeFillShade="F2"/>
                <w:lang w:val="en-US" w:eastAsia="en-US"/>
              </w:rPr>
              <w:t xml:space="preserve">Taxonomy-aligned activities are expressed as a share of: </w:t>
            </w:r>
          </w:p>
          <w:p w:rsidR="0052757A" w:rsidRPr="0052757A" w:rsidP="0052757A" w14:paraId="1599BAC9" w14:textId="77777777">
            <w:pPr>
              <w:pStyle w:val="Default"/>
              <w:rPr>
                <w:rFonts w:ascii="Arial" w:hAnsi="Arial" w:eastAsiaTheme="minorHAnsi" w:cstheme="minorBidi"/>
                <w:color w:val="auto"/>
                <w:sz w:val="20"/>
                <w:szCs w:val="20"/>
                <w:shd w:val="clear" w:color="auto" w:fill="F2F2F2" w:themeFill="background1" w:themeFillShade="F2"/>
                <w:lang w:val="en-US" w:eastAsia="en-US"/>
              </w:rPr>
            </w:pPr>
          </w:p>
          <w:p w:rsidR="0052757A" w:rsidP="0052757A" w14:paraId="12F57EBD" w14:textId="77777777">
            <w:pPr>
              <w:autoSpaceDE w:val="0"/>
              <w:autoSpaceDN w:val="0"/>
              <w:adjustRightInd w:val="0"/>
              <w:jc w:val="left"/>
              <w:rPr>
                <w:b/>
                <w:shd w:val="clear" w:color="auto" w:fill="F2F2F2" w:themeFill="background1" w:themeFillShade="F2"/>
                <w:lang w:val="en-US"/>
              </w:rPr>
            </w:pPr>
            <w:r w:rsidRPr="0052757A">
              <w:rPr>
                <w:shd w:val="clear" w:color="auto" w:fill="F2F2F2" w:themeFill="background1" w:themeFillShade="F2"/>
                <w:lang w:val="en-US"/>
              </w:rPr>
              <w:t>-</w:t>
            </w:r>
            <w:r w:rsidRPr="0052757A">
              <w:rPr>
                <w:b/>
                <w:shd w:val="clear" w:color="auto" w:fill="F2F2F2" w:themeFill="background1" w:themeFillShade="F2"/>
                <w:lang w:val="en-US"/>
              </w:rPr>
              <w:t xml:space="preserve">turnover </w:t>
            </w:r>
          </w:p>
          <w:p w:rsidR="0052757A" w:rsidP="0052757A" w14:paraId="1DAF8D76" w14:textId="459F7FC5">
            <w:pPr>
              <w:autoSpaceDE w:val="0"/>
              <w:autoSpaceDN w:val="0"/>
              <w:adjustRightInd w:val="0"/>
              <w:jc w:val="left"/>
              <w:rPr>
                <w:shd w:val="clear" w:color="auto" w:fill="F2F2F2" w:themeFill="background1" w:themeFillShade="F2"/>
                <w:lang w:val="en-US"/>
              </w:rPr>
            </w:pPr>
            <w:r w:rsidRPr="0052757A">
              <w:rPr>
                <w:shd w:val="clear" w:color="auto" w:fill="F2F2F2" w:themeFill="background1" w:themeFillShade="F2"/>
                <w:lang w:val="en-US"/>
              </w:rPr>
              <w:t>reflecting the share of revenue from green activities of investee companies</w:t>
            </w:r>
          </w:p>
          <w:p w:rsidR="0052757A" w:rsidRPr="0052757A" w:rsidP="0052757A" w14:paraId="0A2C5E87" w14:textId="205FFE68">
            <w:pPr>
              <w:autoSpaceDE w:val="0"/>
              <w:autoSpaceDN w:val="0"/>
              <w:adjustRightInd w:val="0"/>
              <w:jc w:val="left"/>
              <w:rPr>
                <w:shd w:val="clear" w:color="auto" w:fill="F2F2F2" w:themeFill="background1" w:themeFillShade="F2"/>
                <w:lang w:val="en-US"/>
              </w:rPr>
            </w:pPr>
            <w:r w:rsidRPr="0052757A">
              <w:rPr>
                <w:shd w:val="clear" w:color="auto" w:fill="F2F2F2" w:themeFill="background1" w:themeFillShade="F2"/>
                <w:lang w:val="en-US"/>
              </w:rPr>
              <w:t xml:space="preserve"> </w:t>
            </w:r>
          </w:p>
          <w:p w:rsidR="0052757A" w:rsidP="0052757A" w14:paraId="63330F7F" w14:textId="72D2ABC0">
            <w:pPr>
              <w:autoSpaceDE w:val="0"/>
              <w:autoSpaceDN w:val="0"/>
              <w:adjustRightInd w:val="0"/>
              <w:jc w:val="left"/>
              <w:rPr>
                <w:shd w:val="clear" w:color="auto" w:fill="F2F2F2" w:themeFill="background1" w:themeFillShade="F2"/>
                <w:lang w:val="en-US"/>
              </w:rPr>
            </w:pPr>
            <w:r w:rsidRPr="0052757A">
              <w:rPr>
                <w:shd w:val="clear" w:color="auto" w:fill="F2F2F2" w:themeFill="background1" w:themeFillShade="F2"/>
                <w:lang w:val="en-US"/>
              </w:rPr>
              <w:t>-</w:t>
            </w:r>
            <w:r w:rsidRPr="0052757A">
              <w:rPr>
                <w:b/>
                <w:shd w:val="clear" w:color="auto" w:fill="F2F2F2" w:themeFill="background1" w:themeFillShade="F2"/>
                <w:lang w:val="en-US"/>
              </w:rPr>
              <w:t>capital expenditure</w:t>
            </w:r>
            <w:r w:rsidRPr="0052757A">
              <w:rPr>
                <w:shd w:val="clear" w:color="auto" w:fill="F2F2F2" w:themeFill="background1" w:themeFillShade="F2"/>
                <w:lang w:val="en-US"/>
              </w:rPr>
              <w:t xml:space="preserve"> (</w:t>
            </w:r>
            <w:r w:rsidRPr="0052757A">
              <w:rPr>
                <w:shd w:val="clear" w:color="auto" w:fill="F2F2F2" w:themeFill="background1" w:themeFillShade="F2"/>
                <w:lang w:val="en-US"/>
              </w:rPr>
              <w:t>CapEx</w:t>
            </w:r>
            <w:r w:rsidRPr="0052757A">
              <w:rPr>
                <w:shd w:val="clear" w:color="auto" w:fill="F2F2F2" w:themeFill="background1" w:themeFillShade="F2"/>
                <w:lang w:val="en-US"/>
              </w:rPr>
              <w:t xml:space="preserve">) showing the green investments made by investee companies, e.g. for a transition to a green economy. </w:t>
            </w:r>
          </w:p>
          <w:p w:rsidR="0052757A" w:rsidRPr="0052757A" w:rsidP="0052757A" w14:paraId="1713D452" w14:textId="77777777">
            <w:pPr>
              <w:autoSpaceDE w:val="0"/>
              <w:autoSpaceDN w:val="0"/>
              <w:adjustRightInd w:val="0"/>
              <w:jc w:val="left"/>
              <w:rPr>
                <w:shd w:val="clear" w:color="auto" w:fill="F2F2F2" w:themeFill="background1" w:themeFillShade="F2"/>
                <w:lang w:val="en-US"/>
              </w:rPr>
            </w:pPr>
          </w:p>
          <w:p w:rsidR="0052757A" w:rsidRPr="0052757A" w:rsidP="0052757A" w14:paraId="38E66CA7" w14:textId="5E9F4D29">
            <w:pPr>
              <w:autoSpaceDE w:val="0"/>
              <w:autoSpaceDN w:val="0"/>
              <w:adjustRightInd w:val="0"/>
              <w:jc w:val="left"/>
              <w:rPr>
                <w:shd w:val="clear" w:color="auto" w:fill="F2F2F2" w:themeFill="background1" w:themeFillShade="F2"/>
                <w:lang w:val="en-US"/>
              </w:rPr>
            </w:pPr>
            <w:r>
              <w:rPr>
                <w:shd w:val="clear" w:color="auto" w:fill="F2F2F2" w:themeFill="background1" w:themeFillShade="F2"/>
                <w:lang w:val="en-US"/>
              </w:rPr>
              <w:t xml:space="preserve">- </w:t>
            </w:r>
            <w:r w:rsidRPr="0052757A">
              <w:rPr>
                <w:b/>
                <w:shd w:val="clear" w:color="auto" w:fill="F2F2F2" w:themeFill="background1" w:themeFillShade="F2"/>
                <w:lang w:val="en-US"/>
              </w:rPr>
              <w:t>operational expenditure</w:t>
            </w:r>
            <w:r w:rsidRPr="0052757A">
              <w:rPr>
                <w:shd w:val="clear" w:color="auto" w:fill="F2F2F2" w:themeFill="background1" w:themeFillShade="F2"/>
                <w:lang w:val="en-US"/>
              </w:rPr>
              <w:t xml:space="preserve"> (</w:t>
            </w:r>
            <w:r w:rsidRPr="0052757A">
              <w:rPr>
                <w:shd w:val="clear" w:color="auto" w:fill="F2F2F2" w:themeFill="background1" w:themeFillShade="F2"/>
                <w:lang w:val="en-US"/>
              </w:rPr>
              <w:t>OpEx</w:t>
            </w:r>
            <w:r w:rsidRPr="0052757A">
              <w:rPr>
                <w:shd w:val="clear" w:color="auto" w:fill="F2F2F2" w:themeFill="background1" w:themeFillShade="F2"/>
                <w:lang w:val="en-US"/>
              </w:rPr>
              <w:t xml:space="preserve">) reflecting green operational activities of investee companies. </w:t>
            </w:r>
          </w:p>
          <w:p w:rsidR="00E03831" w:rsidRPr="00536F4C" w:rsidP="00D93E80" w14:paraId="05B320FC" w14:textId="3841B639">
            <w:pPr>
              <w:rPr>
                <w:rFonts w:ascii="Calibri" w:eastAsia="Calibri" w:hAnsi="Calibri" w:cs="Calibri"/>
                <w:b/>
                <w:bCs/>
                <w:noProof/>
                <w:lang w:val="en-GB" w:eastAsia="en-GB"/>
              </w:rPr>
            </w:pPr>
            <w:r>
              <w:rPr>
                <w:rFonts w:ascii="Calibri" w:eastAsia="Calibri" w:hAnsi="Calibri" w:cs="Calibri"/>
                <w:b/>
                <w:bCs/>
                <w:noProof/>
                <w:lang w:val="en-GB" w:eastAsia="en-GB"/>
              </w:rPr>
              <w:tab/>
            </w:r>
          </w:p>
        </w:tc>
        <w:tc>
          <w:tcPr>
            <w:tcW w:w="284" w:type="dxa"/>
            <w:gridSpan w:val="3"/>
            <w:vMerge w:val="restart"/>
            <w:tcBorders>
              <w:top w:val="nil"/>
              <w:left w:val="nil"/>
              <w:bottom w:val="nil"/>
              <w:right w:val="nil"/>
            </w:tcBorders>
          </w:tcPr>
          <w:p w:rsidR="00E03831" w:rsidRPr="00536F4C" w:rsidP="00D93E80" w14:paraId="44050557" w14:textId="77777777">
            <w:pPr>
              <w:rPr>
                <w:lang w:val="en-GB"/>
              </w:rPr>
            </w:pPr>
          </w:p>
        </w:tc>
        <w:tc>
          <w:tcPr>
            <w:tcW w:w="8935" w:type="dxa"/>
            <w:tcBorders>
              <w:top w:val="nil"/>
              <w:left w:val="nil"/>
              <w:bottom w:val="nil"/>
              <w:right w:val="nil"/>
            </w:tcBorders>
            <w:shd w:val="clear" w:color="auto" w:fill="FBE9D8"/>
          </w:tcPr>
          <w:p w:rsidR="00E03831" w:rsidRPr="00A64ED8" w14:paraId="1647D4BA" w14:textId="5D9BEB0E">
            <w:pPr>
              <w:rPr>
                <w:lang w:val="en-US"/>
              </w:rPr>
            </w:pPr>
            <w:r w:rsidRPr="00300A55">
              <w:rPr>
                <w:rFonts w:ascii="Calibri" w:eastAsia="Calibri" w:hAnsi="Calibri" w:cs="Calibri"/>
                <w:b/>
                <w:bCs/>
                <w:noProof/>
                <w:lang w:val="fr-FR" w:eastAsia="zh-CN"/>
              </w:rPr>
              <mc:AlternateContent>
                <mc:Choice Requires="wps">
                  <w:drawing>
                    <wp:anchor distT="45720" distB="45720" distL="114300" distR="114300" simplePos="0" relativeHeight="251714560" behindDoc="0" locked="0" layoutInCell="1" allowOverlap="1">
                      <wp:simplePos x="0" y="0"/>
                      <wp:positionH relativeFrom="column">
                        <wp:posOffset>4416747</wp:posOffset>
                      </wp:positionH>
                      <wp:positionV relativeFrom="paragraph">
                        <wp:posOffset>139539</wp:posOffset>
                      </wp:positionV>
                      <wp:extent cx="914400" cy="445135"/>
                      <wp:effectExtent l="0" t="0" r="0" b="0"/>
                      <wp:wrapNone/>
                      <wp:docPr id="16"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4400" cy="4451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63929" w:rsidRPr="00300A55" w:rsidP="008E408F" w14:textId="77777777">
                                  <w:pPr>
                                    <w:jc w:val="center"/>
                                    <w:rPr>
                                      <w:color w:val="FFFFFF" w:themeColor="background1"/>
                                      <w:sz w:val="16"/>
                                      <w:szCs w:val="16"/>
                                      <w:lang w:val="fr-FR"/>
                                    </w:rPr>
                                  </w:pPr>
                                  <w:r w:rsidRPr="00300A55">
                                    <w:rPr>
                                      <w:color w:val="FFFFFF" w:themeColor="background1"/>
                                      <w:sz w:val="16"/>
                                      <w:szCs w:val="16"/>
                                      <w:lang w:val="en-US"/>
                                    </w:rPr>
                                    <w:t>Min 0%</w:t>
                                  </w:r>
                                </w:p>
                                <w:p w:rsidR="00300A55" w:rsidP="008E408F"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40" type="#_x0000_t202" style="width:1in;height:35.05pt;margin-top:10.99pt;margin-left:347.78pt;mso-height-percent:0;mso-height-relative:margin;mso-width-percent:0;mso-width-relative:margin;mso-wrap-distance-bottom:3.6pt;mso-wrap-distance-left:9pt;mso-wrap-distance-right:9pt;mso-wrap-distance-top:3.6pt;position:absolute;v-text-anchor:top;z-index:251713536" filled="f" fillcolor="this" stroked="f">
                      <v:textbox>
                        <w:txbxContent>
                          <w:p w:rsidR="00963929" w:rsidRPr="00300A55" w:rsidP="008E408F" w14:paraId="3E25B888" w14:textId="77777777">
                            <w:pPr>
                              <w:jc w:val="center"/>
                              <w:rPr>
                                <w:color w:val="FFFFFF" w:themeColor="background1"/>
                                <w:sz w:val="16"/>
                                <w:szCs w:val="16"/>
                                <w:lang w:val="fr-FR"/>
                              </w:rPr>
                            </w:pPr>
                            <w:r w:rsidRPr="00300A55">
                              <w:rPr>
                                <w:color w:val="FFFFFF" w:themeColor="background1"/>
                                <w:sz w:val="16"/>
                                <w:szCs w:val="16"/>
                                <w:lang w:val="en-US"/>
                              </w:rPr>
                              <w:t>Min 0%</w:t>
                            </w:r>
                          </w:p>
                          <w:p w:rsidR="00300A55" w:rsidP="008E408F" w14:paraId="334D5419" w14:textId="77777777">
                            <w:pPr>
                              <w:jc w:val="center"/>
                            </w:pPr>
                          </w:p>
                        </w:txbxContent>
                      </v:textbox>
                    </v:shape>
                  </w:pict>
                </mc:Fallback>
              </mc:AlternateContent>
            </w:r>
          </w:p>
          <w:p w:rsidR="00E03831" w:rsidRPr="00E03831" w:rsidP="00E03831" w14:paraId="0FAAB160" w14:textId="5BC734B5">
            <w:pPr>
              <w:autoSpaceDE w:val="0"/>
              <w:autoSpaceDN w:val="0"/>
              <w:adjustRightInd w:val="0"/>
              <w:jc w:val="left"/>
              <w:rPr>
                <w:rFonts w:ascii="Calibri" w:hAnsi="Calibri" w:cs="Calibri"/>
                <w:b/>
                <w:bCs/>
                <w:color w:val="000000"/>
                <w:lang w:val="en-US"/>
              </w:rPr>
            </w:pPr>
            <w:r w:rsidRPr="00300A55">
              <w:rPr>
                <w:rFonts w:ascii="Calibri" w:eastAsia="Calibri" w:hAnsi="Calibri" w:cs="Calibri"/>
                <w:b/>
                <w:bCs/>
                <w:noProof/>
                <w:lang w:val="fr-FR" w:eastAsia="zh-CN"/>
              </w:rPr>
              <mc:AlternateContent>
                <mc:Choice Requires="wps">
                  <w:drawing>
                    <wp:anchor distT="45720" distB="45720" distL="114300" distR="114300" simplePos="0" relativeHeight="251710464" behindDoc="0" locked="0" layoutInCell="1" allowOverlap="1">
                      <wp:simplePos x="0" y="0"/>
                      <wp:positionH relativeFrom="column">
                        <wp:posOffset>2758545</wp:posOffset>
                      </wp:positionH>
                      <wp:positionV relativeFrom="paragraph">
                        <wp:posOffset>123143</wp:posOffset>
                      </wp:positionV>
                      <wp:extent cx="949136" cy="462280"/>
                      <wp:effectExtent l="0" t="0" r="0" b="0"/>
                      <wp:wrapNone/>
                      <wp:docPr id="8"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49136" cy="462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63929" w:rsidRPr="00300A55" w:rsidP="008E408F" w14:textId="77777777">
                                  <w:pPr>
                                    <w:jc w:val="center"/>
                                    <w:rPr>
                                      <w:color w:val="FFFFFF" w:themeColor="background1"/>
                                      <w:sz w:val="16"/>
                                      <w:szCs w:val="16"/>
                                      <w:lang w:val="fr-FR"/>
                                    </w:rPr>
                                  </w:pPr>
                                  <w:r w:rsidRPr="00300A55">
                                    <w:rPr>
                                      <w:color w:val="FFFFFF" w:themeColor="background1"/>
                                      <w:sz w:val="16"/>
                                      <w:szCs w:val="16"/>
                                      <w:lang w:val="en-US"/>
                                    </w:rPr>
                                    <w:t>Min 1%</w:t>
                                  </w:r>
                                </w:p>
                                <w:p w:rsidR="00300A55" w:rsidP="00300A5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41" type="#_x0000_t202" style="width:74.74pt;height:36.4pt;margin-top:9.7pt;margin-left:217.21pt;mso-height-percent:0;mso-height-relative:margin;mso-width-percent:0;mso-width-relative:margin;mso-wrap-distance-bottom:3.6pt;mso-wrap-distance-left:9pt;mso-wrap-distance-right:9pt;mso-wrap-distance-top:3.6pt;position:absolute;v-text-anchor:top;z-index:251709440" filled="f" fillcolor="this" stroked="f">
                      <v:textbox>
                        <w:txbxContent>
                          <w:p w:rsidR="00963929" w:rsidRPr="00300A55" w:rsidP="008E408F" w14:paraId="7D973CF6" w14:textId="77777777">
                            <w:pPr>
                              <w:jc w:val="center"/>
                              <w:rPr>
                                <w:color w:val="FFFFFF" w:themeColor="background1"/>
                                <w:sz w:val="16"/>
                                <w:szCs w:val="16"/>
                                <w:lang w:val="fr-FR"/>
                              </w:rPr>
                            </w:pPr>
                            <w:r w:rsidRPr="00300A55">
                              <w:rPr>
                                <w:color w:val="FFFFFF" w:themeColor="background1"/>
                                <w:sz w:val="16"/>
                                <w:szCs w:val="16"/>
                                <w:lang w:val="en-US"/>
                              </w:rPr>
                              <w:t>Min 1%</w:t>
                            </w:r>
                          </w:p>
                          <w:p w:rsidR="00300A55" w:rsidP="00300A55" w14:paraId="6B33FBC1" w14:textId="77777777"/>
                        </w:txbxContent>
                      </v:textbox>
                    </v:shape>
                  </w:pict>
                </mc:Fallback>
              </mc:AlternateContent>
            </w:r>
            <w:r w:rsidRPr="00300A55">
              <w:rPr>
                <w:rFonts w:ascii="Calibri" w:eastAsia="Calibri" w:hAnsi="Calibri" w:cs="Calibri"/>
                <w:b/>
                <w:bCs/>
                <w:noProof/>
                <w:lang w:val="fr-FR" w:eastAsia="zh-CN"/>
              </w:rPr>
              <mc:AlternateContent>
                <mc:Choice Requires="wps">
                  <w:drawing>
                    <wp:anchor distT="45720" distB="45720" distL="114300" distR="114300" simplePos="0" relativeHeight="251716608" behindDoc="0" locked="0" layoutInCell="1" allowOverlap="1">
                      <wp:simplePos x="0" y="0"/>
                      <wp:positionH relativeFrom="column">
                        <wp:posOffset>4437220</wp:posOffset>
                      </wp:positionH>
                      <wp:positionV relativeFrom="paragraph">
                        <wp:posOffset>477984</wp:posOffset>
                      </wp:positionV>
                      <wp:extent cx="948358" cy="462280"/>
                      <wp:effectExtent l="0" t="0" r="0" b="0"/>
                      <wp:wrapNone/>
                      <wp:docPr id="17"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48358" cy="462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63929" w:rsidRPr="00300A55" w:rsidP="008E408F" w14:textId="77777777">
                                  <w:pPr>
                                    <w:jc w:val="center"/>
                                    <w:rPr>
                                      <w:sz w:val="16"/>
                                      <w:szCs w:val="16"/>
                                      <w:lang w:val="fr-FR"/>
                                    </w:rPr>
                                  </w:pPr>
                                  <w:r w:rsidRPr="00300A55">
                                    <w:rPr>
                                      <w:sz w:val="16"/>
                                      <w:szCs w:val="16"/>
                                      <w:lang w:val="en-US"/>
                                    </w:rPr>
                                    <w:t>Min 1%</w:t>
                                  </w:r>
                                </w:p>
                                <w:p w:rsidR="00300A55" w:rsidP="00300A5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42" type="#_x0000_t202" style="width:74.67pt;height:36.4pt;margin-top:37.64pt;margin-left:349.39pt;mso-height-percent:0;mso-height-relative:margin;mso-width-percent:0;mso-width-relative:margin;mso-wrap-distance-bottom:3.6pt;mso-wrap-distance-left:9pt;mso-wrap-distance-right:9pt;mso-wrap-distance-top:3.6pt;position:absolute;v-text-anchor:top;z-index:251715584" filled="f" fillcolor="this" stroked="f">
                      <v:textbox>
                        <w:txbxContent>
                          <w:p w:rsidR="00963929" w:rsidRPr="00300A55" w:rsidP="008E408F" w14:paraId="686CD98D" w14:textId="77777777">
                            <w:pPr>
                              <w:jc w:val="center"/>
                              <w:rPr>
                                <w:sz w:val="16"/>
                                <w:szCs w:val="16"/>
                                <w:lang w:val="fr-FR"/>
                              </w:rPr>
                            </w:pPr>
                            <w:r w:rsidRPr="00300A55">
                              <w:rPr>
                                <w:sz w:val="16"/>
                                <w:szCs w:val="16"/>
                                <w:lang w:val="en-US"/>
                              </w:rPr>
                              <w:t>Min 1%</w:t>
                            </w:r>
                          </w:p>
                          <w:p w:rsidR="00300A55" w:rsidP="00300A55" w14:paraId="46B341E2" w14:textId="77777777"/>
                        </w:txbxContent>
                      </v:textbox>
                    </v:shape>
                  </w:pict>
                </mc:Fallback>
              </mc:AlternateContent>
            </w:r>
            <w:r w:rsidRPr="00300A55">
              <w:rPr>
                <w:rFonts w:ascii="Calibri" w:eastAsia="Calibri" w:hAnsi="Calibri" w:cs="Calibri"/>
                <w:b/>
                <w:bCs/>
                <w:noProof/>
                <w:lang w:val="fr-FR" w:eastAsia="zh-CN"/>
              </w:rPr>
              <mc:AlternateContent>
                <mc:Choice Requires="wps">
                  <w:drawing>
                    <wp:anchor distT="45720" distB="45720" distL="114300" distR="114300" simplePos="0" relativeHeight="251712512" behindDoc="0" locked="0" layoutInCell="1" allowOverlap="1">
                      <wp:simplePos x="0" y="0"/>
                      <wp:positionH relativeFrom="column">
                        <wp:posOffset>2799488</wp:posOffset>
                      </wp:positionH>
                      <wp:positionV relativeFrom="paragraph">
                        <wp:posOffset>976128</wp:posOffset>
                      </wp:positionV>
                      <wp:extent cx="908192" cy="462280"/>
                      <wp:effectExtent l="0" t="0" r="0" b="0"/>
                      <wp:wrapNone/>
                      <wp:docPr id="14"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08192" cy="462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63929" w:rsidRPr="00300A55" w:rsidP="00300A55" w14:textId="77777777">
                                  <w:pPr>
                                    <w:rPr>
                                      <w:sz w:val="16"/>
                                      <w:szCs w:val="16"/>
                                      <w:lang w:val="fr-FR"/>
                                    </w:rPr>
                                  </w:pPr>
                                </w:p>
                                <w:p w:rsidR="00300A55" w:rsidP="00300A55"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43" type="#_x0000_t202" style="width:71.51pt;height:36.4pt;margin-top:76.86pt;margin-left:220.43pt;mso-height-percent:0;mso-height-relative:margin;mso-width-percent:0;mso-width-relative:margin;mso-wrap-distance-bottom:3.6pt;mso-wrap-distance-left:9pt;mso-wrap-distance-right:9pt;mso-wrap-distance-top:3.6pt;position:absolute;v-text-anchor:top;z-index:251711488" filled="f" fillcolor="this" stroked="f">
                      <v:textbox>
                        <w:txbxContent>
                          <w:p w:rsidR="00963929" w:rsidRPr="00300A55" w:rsidP="00300A55" w14:paraId="11CE5584" w14:textId="77777777">
                            <w:pPr>
                              <w:rPr>
                                <w:sz w:val="16"/>
                                <w:szCs w:val="16"/>
                                <w:lang w:val="fr-FR"/>
                              </w:rPr>
                            </w:pPr>
                          </w:p>
                          <w:p w:rsidR="00300A55" w:rsidP="00300A55" w14:paraId="0F9D1C07" w14:textId="77777777"/>
                        </w:txbxContent>
                      </v:textbox>
                    </v:shape>
                  </w:pict>
                </mc:Fallback>
              </mc:AlternateContent>
            </w:r>
            <w:r w:rsidRPr="00300A55">
              <w:rPr>
                <w:rFonts w:ascii="Calibri" w:eastAsia="Calibri" w:hAnsi="Calibri" w:cs="Calibri"/>
                <w:b/>
                <w:bCs/>
                <w:noProof/>
                <w:lang w:val="fr-FR" w:eastAsia="zh-CN"/>
              </w:rPr>
              <mc:AlternateContent>
                <mc:Choice Requires="wps">
                  <w:drawing>
                    <wp:anchor distT="45720" distB="45720" distL="114300" distR="114300" simplePos="0" relativeHeight="251718656" behindDoc="0" locked="0" layoutInCell="1" allowOverlap="1">
                      <wp:simplePos x="0" y="0"/>
                      <wp:positionH relativeFrom="column">
                        <wp:posOffset>4286932</wp:posOffset>
                      </wp:positionH>
                      <wp:positionV relativeFrom="paragraph">
                        <wp:posOffset>1180304</wp:posOffset>
                      </wp:positionV>
                      <wp:extent cx="1110407" cy="462280"/>
                      <wp:effectExtent l="0" t="0" r="0" b="0"/>
                      <wp:wrapNone/>
                      <wp:docPr id="19"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10407" cy="462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63929" w:rsidRPr="00300A55" w:rsidP="008E408F" w14:textId="77777777">
                                  <w:pPr>
                                    <w:jc w:val="center"/>
                                    <w:rPr>
                                      <w:sz w:val="16"/>
                                      <w:szCs w:val="16"/>
                                      <w:lang w:val="fr-FR"/>
                                    </w:rPr>
                                  </w:pPr>
                                  <w:r w:rsidRPr="00300A55">
                                    <w:rPr>
                                      <w:sz w:val="16"/>
                                      <w:szCs w:val="16"/>
                                      <w:lang w:val="en-US"/>
                                    </w:rPr>
                                    <w:t>Min 0%</w:t>
                                  </w:r>
                                </w:p>
                                <w:p w:rsidR="00300A55" w:rsidP="008E408F" w14:textId="77777777">
                                  <w:pPr>
                                    <w:jc w:val="cente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44" type="#_x0000_t202" style="width:87.43pt;height:36.4pt;margin-top:92.94pt;margin-left:337.55pt;mso-height-percent:0;mso-height-relative:margin;mso-width-percent:0;mso-width-relative:margin;mso-wrap-distance-bottom:3.6pt;mso-wrap-distance-left:9pt;mso-wrap-distance-right:9pt;mso-wrap-distance-top:3.6pt;position:absolute;v-text-anchor:top;z-index:251717632" filled="f" fillcolor="this" stroked="f">
                      <v:textbox>
                        <w:txbxContent>
                          <w:p w:rsidR="00963929" w:rsidRPr="00300A55" w:rsidP="008E408F" w14:paraId="0AB88AB4" w14:textId="77777777">
                            <w:pPr>
                              <w:jc w:val="center"/>
                              <w:rPr>
                                <w:sz w:val="16"/>
                                <w:szCs w:val="16"/>
                                <w:lang w:val="fr-FR"/>
                              </w:rPr>
                            </w:pPr>
                            <w:r w:rsidRPr="00300A55">
                              <w:rPr>
                                <w:sz w:val="16"/>
                                <w:szCs w:val="16"/>
                                <w:lang w:val="en-US"/>
                              </w:rPr>
                              <w:t>Min 0%</w:t>
                            </w:r>
                          </w:p>
                          <w:p w:rsidR="00300A55" w:rsidP="008E408F" w14:paraId="15E8A887" w14:textId="77777777">
                            <w:pPr>
                              <w:jc w:val="center"/>
                            </w:pPr>
                          </w:p>
                        </w:txbxContent>
                      </v:textbox>
                    </v:shape>
                  </w:pict>
                </mc:Fallback>
              </mc:AlternateContent>
            </w:r>
            <w:r w:rsidRPr="00300A55" w:rsidR="00C6526A">
              <w:rPr>
                <w:rFonts w:ascii="Calibri" w:eastAsia="Calibri" w:hAnsi="Calibri" w:cs="Calibri"/>
                <w:b/>
                <w:bCs/>
                <w:noProof/>
                <w:lang w:val="fr-FR" w:eastAsia="zh-CN"/>
              </w:rPr>
              <mc:AlternateContent>
                <mc:Choice Requires="wps">
                  <w:drawing>
                    <wp:anchor distT="45720" distB="45720" distL="114300" distR="114300" simplePos="0" relativeHeight="251720704" behindDoc="0" locked="0" layoutInCell="1" allowOverlap="1">
                      <wp:simplePos x="0" y="0"/>
                      <wp:positionH relativeFrom="column">
                        <wp:posOffset>1374571</wp:posOffset>
                      </wp:positionH>
                      <wp:positionV relativeFrom="paragraph">
                        <wp:posOffset>770357</wp:posOffset>
                      </wp:positionV>
                      <wp:extent cx="735965" cy="462280"/>
                      <wp:effectExtent l="0" t="0" r="0" b="0"/>
                      <wp:wrapNone/>
                      <wp:docPr id="6"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5965" cy="462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B30ACC" w:rsidRPr="00C6526A" w:rsidP="00C6526A" w14:textId="77777777">
                                  <w:pPr>
                                    <w:rPr>
                                      <w:sz w:val="16"/>
                                      <w:szCs w:val="16"/>
                                      <w:lang w:val="fr-FR"/>
                                    </w:rPr>
                                  </w:pPr>
                                  <w:r w:rsidRPr="00C6526A">
                                    <w:rPr>
                                      <w:sz w:val="16"/>
                                      <w:szCs w:val="16"/>
                                      <w:lang w:val="en-US"/>
                                    </w:rPr>
                                    <w:t>Min 90%</w:t>
                                  </w:r>
                                </w:p>
                                <w:p w:rsidR="00C6526A" w:rsidP="00C6526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45" type="#_x0000_t202" style="width:57.95pt;height:36.4pt;margin-top:60.66pt;margin-left:108.23pt;mso-height-percent:0;mso-height-relative:margin;mso-width-percent:0;mso-width-relative:margin;mso-wrap-distance-bottom:3.6pt;mso-wrap-distance-left:9pt;mso-wrap-distance-right:9pt;mso-wrap-distance-top:3.6pt;position:absolute;v-text-anchor:top;z-index:251719680" filled="f" fillcolor="this" stroked="f">
                      <v:textbox>
                        <w:txbxContent>
                          <w:p w:rsidR="00B30ACC" w:rsidRPr="00C6526A" w:rsidP="00C6526A" w14:paraId="3E2A2726" w14:textId="77777777">
                            <w:pPr>
                              <w:rPr>
                                <w:sz w:val="16"/>
                                <w:szCs w:val="16"/>
                                <w:lang w:val="fr-FR"/>
                              </w:rPr>
                            </w:pPr>
                            <w:r w:rsidRPr="00C6526A">
                              <w:rPr>
                                <w:sz w:val="16"/>
                                <w:szCs w:val="16"/>
                                <w:lang w:val="en-US"/>
                              </w:rPr>
                              <w:t>Min 90%</w:t>
                            </w:r>
                          </w:p>
                          <w:p w:rsidR="00C6526A" w:rsidP="00C6526A" w14:paraId="0BF4C6BD" w14:textId="77777777"/>
                        </w:txbxContent>
                      </v:textbox>
                    </v:shape>
                  </w:pict>
                </mc:Fallback>
              </mc:AlternateContent>
            </w:r>
            <w:r w:rsidRPr="00300A55" w:rsidR="009617F0">
              <w:rPr>
                <w:rFonts w:ascii="Calibri" w:eastAsia="Calibri" w:hAnsi="Calibri" w:cs="Calibri"/>
                <w:b/>
                <w:bCs/>
                <w:noProof/>
                <w:lang w:val="fr-FR" w:eastAsia="zh-CN"/>
              </w:rPr>
              <mc:AlternateContent>
                <mc:Choice Requires="wps">
                  <w:drawing>
                    <wp:anchor distT="45720" distB="45720" distL="114300" distR="114300" simplePos="0" relativeHeight="251708416" behindDoc="0" locked="0" layoutInCell="1" allowOverlap="1">
                      <wp:simplePos x="0" y="0"/>
                      <wp:positionH relativeFrom="column">
                        <wp:posOffset>1402080</wp:posOffset>
                      </wp:positionH>
                      <wp:positionV relativeFrom="paragraph">
                        <wp:posOffset>1530985</wp:posOffset>
                      </wp:positionV>
                      <wp:extent cx="735965" cy="462280"/>
                      <wp:effectExtent l="0" t="0" r="0" b="0"/>
                      <wp:wrapNone/>
                      <wp:docPr id="217" name="Zone de texte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35965" cy="462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63929" w:rsidRPr="00300A55" w:rsidP="00300A55" w14:textId="5D299A9B">
                                  <w:pPr>
                                    <w:rPr>
                                      <w:sz w:val="16"/>
                                      <w:szCs w:val="16"/>
                                      <w:lang w:val="fr-FR"/>
                                    </w:rPr>
                                  </w:pPr>
                                  <w:r w:rsidRPr="00300A55">
                                    <w:rPr>
                                      <w:sz w:val="16"/>
                                      <w:szCs w:val="16"/>
                                      <w:lang w:val="en-US"/>
                                    </w:rPr>
                                    <w:t>Max 10%</w:t>
                                  </w:r>
                                </w:p>
                                <w:p w:rsidR="00300A55" w14:textId="101A5488"/>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Zone de texte 2" o:spid="_x0000_s1046" type="#_x0000_t202" style="width:57.95pt;height:36.4pt;margin-top:120.55pt;margin-left:110.4pt;mso-height-percent:0;mso-height-relative:margin;mso-width-percent:0;mso-width-relative:margin;mso-wrap-distance-bottom:3.6pt;mso-wrap-distance-left:9pt;mso-wrap-distance-right:9pt;mso-wrap-distance-top:3.6pt;position:absolute;v-text-anchor:top;z-index:251707392" filled="f" fillcolor="this" stroked="f">
                      <v:textbox>
                        <w:txbxContent>
                          <w:p w:rsidR="00963929" w:rsidRPr="00300A55" w:rsidP="00300A55" w14:paraId="30FF40CC" w14:textId="5D299A9B">
                            <w:pPr>
                              <w:rPr>
                                <w:sz w:val="16"/>
                                <w:szCs w:val="16"/>
                                <w:lang w:val="fr-FR"/>
                              </w:rPr>
                            </w:pPr>
                            <w:r w:rsidRPr="00300A55">
                              <w:rPr>
                                <w:sz w:val="16"/>
                                <w:szCs w:val="16"/>
                                <w:lang w:val="en-US"/>
                              </w:rPr>
                              <w:t>Max 10%</w:t>
                            </w:r>
                          </w:p>
                          <w:p w:rsidR="00300A55" w14:paraId="6AFDA8F9" w14:textId="101A5488"/>
                        </w:txbxContent>
                      </v:textbox>
                    </v:shape>
                  </w:pict>
                </mc:Fallback>
              </mc:AlternateContent>
            </w:r>
            <w:r w:rsidRPr="00636C96" w:rsidR="0034713C">
              <w:rPr>
                <w:noProof/>
                <w:shd w:val="clear" w:color="auto" w:fill="FBE9D8"/>
                <w:lang w:val="fr-FR" w:eastAsia="zh-CN"/>
              </w:rPr>
              <w:drawing>
                <wp:inline distT="0" distB="0" distL="0" distR="0">
                  <wp:extent cx="5224780" cy="2185060"/>
                  <wp:effectExtent l="285750" t="0" r="139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tc>
      </w:tr>
      <w:tr w14:paraId="5E958A0E" w14:textId="77777777" w:rsidTr="00E0450D">
        <w:tblPrEx>
          <w:tblW w:w="11346" w:type="dxa"/>
          <w:tblInd w:w="-724" w:type="dxa"/>
          <w:tblLayout w:type="fixed"/>
          <w:tblLook w:val="04A0"/>
        </w:tblPrEx>
        <w:trPr>
          <w:gridBefore w:val="1"/>
          <w:gridAfter w:val="1"/>
          <w:wBefore w:w="10" w:type="dxa"/>
          <w:wAfter w:w="132" w:type="dxa"/>
          <w:trHeight w:val="2158"/>
        </w:trPr>
        <w:tc>
          <w:tcPr>
            <w:tcW w:w="1985" w:type="dxa"/>
            <w:gridSpan w:val="3"/>
            <w:vMerge/>
            <w:tcBorders>
              <w:top w:val="nil"/>
              <w:left w:val="nil"/>
              <w:bottom w:val="nil"/>
              <w:right w:val="nil"/>
            </w:tcBorders>
            <w:shd w:val="clear" w:color="auto" w:fill="F2F2F2" w:themeFill="background1" w:themeFillShade="F2"/>
          </w:tcPr>
          <w:p w:rsidR="00E03831" w:rsidP="00D93E80" w14:paraId="405776C8" w14:textId="77777777">
            <w:pPr>
              <w:rPr>
                <w:rFonts w:ascii="Calibri" w:eastAsia="Calibri" w:hAnsi="Calibri" w:cs="Calibri"/>
                <w:b/>
                <w:bCs/>
                <w:noProof/>
                <w:lang w:val="en-GB" w:eastAsia="en-GB"/>
              </w:rPr>
            </w:pPr>
          </w:p>
        </w:tc>
        <w:tc>
          <w:tcPr>
            <w:tcW w:w="284" w:type="dxa"/>
            <w:gridSpan w:val="3"/>
            <w:vMerge/>
            <w:tcBorders>
              <w:top w:val="nil"/>
              <w:left w:val="nil"/>
              <w:bottom w:val="nil"/>
              <w:right w:val="nil"/>
            </w:tcBorders>
          </w:tcPr>
          <w:p w:rsidR="00E03831" w:rsidRPr="00536F4C" w:rsidP="00D93E80" w14:paraId="7674B2F7" w14:textId="77777777">
            <w:pPr>
              <w:rPr>
                <w:lang w:val="en-GB"/>
              </w:rPr>
            </w:pPr>
          </w:p>
        </w:tc>
        <w:tc>
          <w:tcPr>
            <w:tcW w:w="8935" w:type="dxa"/>
            <w:tcBorders>
              <w:top w:val="nil"/>
              <w:left w:val="nil"/>
              <w:bottom w:val="nil"/>
              <w:right w:val="nil"/>
            </w:tcBorders>
            <w:shd w:val="clear" w:color="auto" w:fill="FBE9D8"/>
          </w:tcPr>
          <w:p w:rsidR="00E03831" w:rsidRPr="00C77A37" w:rsidP="00E03831" w14:paraId="68D79E2F" w14:textId="0D0F21C3">
            <w:pPr>
              <w:autoSpaceDE w:val="0"/>
              <w:autoSpaceDN w:val="0"/>
              <w:adjustRightInd w:val="0"/>
              <w:jc w:val="left"/>
              <w:rPr>
                <w:rFonts w:ascii="Calibri" w:hAnsi="Calibri" w:cs="Calibri"/>
                <w:color w:val="000000"/>
                <w:sz w:val="18"/>
                <w:szCs w:val="18"/>
                <w:lang w:val="en-US"/>
              </w:rPr>
            </w:pPr>
            <w:r w:rsidRPr="00C77A37">
              <w:rPr>
                <w:rFonts w:ascii="Calibri" w:hAnsi="Calibri" w:cs="Calibri"/>
                <w:b/>
                <w:bCs/>
                <w:color w:val="000000"/>
                <w:lang w:val="en-US"/>
              </w:rPr>
              <w:t>#</w:t>
            </w:r>
            <w:r w:rsidRPr="00C77A37">
              <w:rPr>
                <w:rFonts w:ascii="Calibri" w:hAnsi="Calibri" w:cs="Calibri"/>
                <w:b/>
                <w:bCs/>
                <w:color w:val="000000"/>
                <w:sz w:val="18"/>
                <w:szCs w:val="18"/>
                <w:lang w:val="en-US"/>
              </w:rPr>
              <w:t xml:space="preserve">1 Aligned with E/S characteristics </w:t>
            </w:r>
            <w:r w:rsidRPr="00C77A37">
              <w:rPr>
                <w:rFonts w:ascii="Calibri" w:hAnsi="Calibri" w:cs="Calibri"/>
                <w:color w:val="000000"/>
                <w:sz w:val="18"/>
                <w:szCs w:val="18"/>
                <w:lang w:val="en-US"/>
              </w:rPr>
              <w:t xml:space="preserve">includes the investments of the financial product used to attain the environmental or social characteristics promoted by the financial product. </w:t>
            </w:r>
          </w:p>
          <w:p w:rsidR="00E03831" w:rsidP="00E03831" w14:paraId="4A326DA9" w14:textId="43266543">
            <w:pPr>
              <w:autoSpaceDE w:val="0"/>
              <w:autoSpaceDN w:val="0"/>
              <w:adjustRightInd w:val="0"/>
              <w:jc w:val="left"/>
              <w:rPr>
                <w:rFonts w:ascii="Calibri" w:hAnsi="Calibri" w:cs="Calibri"/>
                <w:color w:val="000000"/>
                <w:sz w:val="18"/>
                <w:szCs w:val="18"/>
                <w:lang w:val="en-US"/>
              </w:rPr>
            </w:pPr>
            <w:r w:rsidRPr="00C77A37">
              <w:rPr>
                <w:rFonts w:ascii="Calibri" w:hAnsi="Calibri" w:cs="Calibri"/>
                <w:b/>
                <w:bCs/>
                <w:color w:val="000000"/>
                <w:sz w:val="18"/>
                <w:szCs w:val="18"/>
                <w:lang w:val="en-US"/>
              </w:rPr>
              <w:t xml:space="preserve">#2Other </w:t>
            </w:r>
            <w:r w:rsidRPr="00C77A37">
              <w:rPr>
                <w:rFonts w:ascii="Calibri" w:hAnsi="Calibri" w:cs="Calibri"/>
                <w:color w:val="000000"/>
                <w:sz w:val="18"/>
                <w:szCs w:val="18"/>
                <w:lang w:val="en-US"/>
              </w:rPr>
              <w:t xml:space="preserve">includes the remaining investments of the financial </w:t>
            </w:r>
            <w:r w:rsidRPr="00C77A37" w:rsidR="0034713C">
              <w:rPr>
                <w:rFonts w:ascii="Calibri" w:hAnsi="Calibri" w:cs="Calibri"/>
                <w:color w:val="000000"/>
                <w:sz w:val="18"/>
                <w:szCs w:val="18"/>
                <w:lang w:val="en-US"/>
              </w:rPr>
              <w:t>product, which</w:t>
            </w:r>
            <w:r w:rsidRPr="00C77A37">
              <w:rPr>
                <w:rFonts w:ascii="Calibri" w:hAnsi="Calibri" w:cs="Calibri"/>
                <w:color w:val="000000"/>
                <w:sz w:val="18"/>
                <w:szCs w:val="18"/>
                <w:lang w:val="en-US"/>
              </w:rPr>
              <w:t xml:space="preserve"> are neither aligned with the environmental or social characteristics, nor are qualified as sustainable investments. </w:t>
            </w:r>
          </w:p>
          <w:p w:rsidR="007E5E13" w:rsidRPr="007E1A95" w:rsidP="00E03831" w14:paraId="33079568" w14:textId="77777777">
            <w:pPr>
              <w:autoSpaceDE w:val="0"/>
              <w:autoSpaceDN w:val="0"/>
              <w:adjustRightInd w:val="0"/>
              <w:jc w:val="left"/>
              <w:rPr>
                <w:rFonts w:ascii="Calibri" w:hAnsi="Calibri" w:cs="Calibri"/>
                <w:color w:val="000000"/>
                <w:sz w:val="18"/>
                <w:szCs w:val="18"/>
                <w:lang w:val="en-US"/>
              </w:rPr>
            </w:pPr>
          </w:p>
          <w:p w:rsidR="00654CE3" w:rsidRPr="00235DE2" w:rsidP="00654CE3" w14:paraId="1B415525" w14:textId="32B7B88B">
            <w:pPr>
              <w:autoSpaceDE w:val="0"/>
              <w:autoSpaceDN w:val="0"/>
              <w:adjustRightInd w:val="0"/>
              <w:jc w:val="left"/>
              <w:rPr>
                <w:rFonts w:ascii="Calibri" w:hAnsi="Calibri" w:cs="Calibri"/>
                <w:iCs/>
                <w:color w:val="000000"/>
                <w:sz w:val="18"/>
                <w:szCs w:val="18"/>
                <w:lang w:val="en-US"/>
              </w:rPr>
            </w:pPr>
            <w:r w:rsidRPr="0058700F">
              <w:rPr>
                <w:rFonts w:ascii="Calibri" w:hAnsi="Calibri" w:cs="Calibri"/>
                <w:iCs/>
                <w:color w:val="000000"/>
                <w:sz w:val="18"/>
                <w:szCs w:val="18"/>
                <w:lang w:val="en-US"/>
              </w:rPr>
              <w:t>The category</w:t>
            </w:r>
            <w:r w:rsidRPr="00235DE2">
              <w:rPr>
                <w:rFonts w:ascii="Calibri" w:hAnsi="Calibri" w:cs="Calibri"/>
                <w:b/>
                <w:iCs/>
                <w:color w:val="000000"/>
                <w:sz w:val="18"/>
                <w:szCs w:val="18"/>
                <w:lang w:val="en-US"/>
              </w:rPr>
              <w:t xml:space="preserve"> </w:t>
            </w:r>
            <w:r w:rsidRPr="00E0450D">
              <w:rPr>
                <w:rFonts w:ascii="Calibri" w:hAnsi="Calibri" w:cs="Calibri"/>
                <w:b/>
                <w:iCs/>
                <w:color w:val="000000"/>
                <w:sz w:val="18"/>
                <w:szCs w:val="18"/>
                <w:lang w:val="en-US"/>
              </w:rPr>
              <w:t>#1 Aligned with E/S characteristics</w:t>
            </w:r>
            <w:r w:rsidRPr="00235DE2">
              <w:rPr>
                <w:rFonts w:ascii="Calibri" w:hAnsi="Calibri" w:cs="Calibri"/>
                <w:iCs/>
                <w:color w:val="000000"/>
                <w:sz w:val="18"/>
                <w:szCs w:val="18"/>
                <w:lang w:val="en-US"/>
              </w:rPr>
              <w:t xml:space="preserve"> covers</w:t>
            </w:r>
            <w:r w:rsidR="0058700F">
              <w:rPr>
                <w:rFonts w:ascii="Calibri" w:hAnsi="Calibri" w:cs="Calibri"/>
                <w:iCs/>
                <w:color w:val="000000"/>
                <w:sz w:val="18"/>
                <w:szCs w:val="18"/>
                <w:lang w:val="en-US"/>
              </w:rPr>
              <w:t>:</w:t>
            </w:r>
          </w:p>
          <w:p w:rsidR="00654CE3" w:rsidRPr="00235DE2" w:rsidP="00654CE3" w14:paraId="346C1CC5" w14:textId="671B78FC">
            <w:pPr>
              <w:autoSpaceDE w:val="0"/>
              <w:autoSpaceDN w:val="0"/>
              <w:adjustRightInd w:val="0"/>
              <w:jc w:val="left"/>
              <w:rPr>
                <w:rFonts w:ascii="Calibri" w:hAnsi="Calibri" w:cs="Calibri"/>
                <w:iCs/>
                <w:color w:val="000000"/>
                <w:sz w:val="18"/>
                <w:szCs w:val="18"/>
                <w:lang w:val="en-US"/>
              </w:rPr>
            </w:pPr>
            <w:r w:rsidRPr="00235DE2">
              <w:rPr>
                <w:rFonts w:ascii="Calibri" w:hAnsi="Calibri" w:cs="Calibri"/>
                <w:iCs/>
                <w:color w:val="000000"/>
                <w:sz w:val="18"/>
                <w:szCs w:val="18"/>
                <w:lang w:val="en-US"/>
              </w:rPr>
              <w:t>-</w:t>
            </w:r>
            <w:r w:rsidR="00D319F5">
              <w:rPr>
                <w:rFonts w:ascii="Calibri" w:hAnsi="Calibri" w:cs="Calibri"/>
                <w:iCs/>
                <w:color w:val="000000"/>
                <w:sz w:val="18"/>
                <w:szCs w:val="18"/>
                <w:lang w:val="en-US"/>
              </w:rPr>
              <w:t xml:space="preserve"> </w:t>
            </w:r>
            <w:r w:rsidRPr="00235DE2">
              <w:rPr>
                <w:rFonts w:ascii="Calibri" w:hAnsi="Calibri" w:cs="Calibri"/>
                <w:iCs/>
                <w:color w:val="000000"/>
                <w:sz w:val="18"/>
                <w:szCs w:val="18"/>
                <w:lang w:val="en-US"/>
              </w:rPr>
              <w:t xml:space="preserve">The sub-category </w:t>
            </w:r>
            <w:r w:rsidRPr="00E0450D">
              <w:rPr>
                <w:rFonts w:ascii="Calibri" w:hAnsi="Calibri" w:cs="Calibri"/>
                <w:b/>
                <w:iCs/>
                <w:color w:val="000000"/>
                <w:sz w:val="18"/>
                <w:szCs w:val="18"/>
                <w:lang w:val="en-US"/>
              </w:rPr>
              <w:t>#1A Sustainable</w:t>
            </w:r>
            <w:r w:rsidRPr="00235DE2">
              <w:rPr>
                <w:rFonts w:ascii="Calibri" w:hAnsi="Calibri" w:cs="Calibri"/>
                <w:iCs/>
                <w:color w:val="000000"/>
                <w:sz w:val="18"/>
                <w:szCs w:val="18"/>
                <w:lang w:val="en-US"/>
              </w:rPr>
              <w:t xml:space="preserve"> covers sustainable investments with environmental or social objectives.</w:t>
            </w:r>
          </w:p>
          <w:p w:rsidR="00E03831" w:rsidRPr="00A64ED8" w:rsidP="00654CE3" w14:paraId="7602A58A" w14:textId="6FBAA4EB">
            <w:pPr>
              <w:autoSpaceDE w:val="0"/>
              <w:autoSpaceDN w:val="0"/>
              <w:adjustRightInd w:val="0"/>
              <w:jc w:val="left"/>
              <w:rPr>
                <w:lang w:val="en-US"/>
              </w:rPr>
            </w:pPr>
            <w:r w:rsidRPr="00235DE2">
              <w:rPr>
                <w:rFonts w:ascii="Calibri" w:hAnsi="Calibri" w:cs="Calibri"/>
                <w:iCs/>
                <w:color w:val="000000"/>
                <w:sz w:val="18"/>
                <w:szCs w:val="18"/>
                <w:lang w:val="en-US"/>
              </w:rPr>
              <w:cr/>
              <w:t xml:space="preserve">-The sub-category </w:t>
            </w:r>
            <w:r w:rsidRPr="00E0450D">
              <w:rPr>
                <w:rFonts w:ascii="Calibri" w:hAnsi="Calibri" w:cs="Calibri"/>
                <w:b/>
                <w:iCs/>
                <w:color w:val="000000"/>
                <w:sz w:val="18"/>
                <w:szCs w:val="18"/>
                <w:lang w:val="en-US"/>
              </w:rPr>
              <w:t>#1B Other E/S characteristics</w:t>
            </w:r>
            <w:r w:rsidRPr="00235DE2">
              <w:rPr>
                <w:rFonts w:ascii="Calibri" w:hAnsi="Calibri" w:cs="Calibri"/>
                <w:iCs/>
                <w:color w:val="000000"/>
                <w:sz w:val="18"/>
                <w:szCs w:val="18"/>
                <w:lang w:val="en-US"/>
              </w:rPr>
              <w:t xml:space="preserve"> covers investments aligned with the environmental or social characteristics that do not qualify as sustainable investments.</w:t>
            </w:r>
          </w:p>
        </w:tc>
      </w:tr>
      <w:tr w14:paraId="751F6E9E" w14:textId="77777777" w:rsidTr="007E1A95">
        <w:tblPrEx>
          <w:tblW w:w="11346" w:type="dxa"/>
          <w:tblInd w:w="-724" w:type="dxa"/>
          <w:tblLayout w:type="fixed"/>
          <w:tblLook w:val="04A0"/>
        </w:tblPrEx>
        <w:trPr>
          <w:gridBefore w:val="1"/>
          <w:gridAfter w:val="1"/>
          <w:wBefore w:w="10" w:type="dxa"/>
          <w:wAfter w:w="132" w:type="dxa"/>
          <w:trHeight w:val="848"/>
        </w:trPr>
        <w:tc>
          <w:tcPr>
            <w:tcW w:w="1985" w:type="dxa"/>
            <w:gridSpan w:val="3"/>
            <w:vMerge/>
            <w:tcBorders>
              <w:top w:val="nil"/>
              <w:left w:val="nil"/>
              <w:bottom w:val="nil"/>
              <w:right w:val="nil"/>
            </w:tcBorders>
            <w:shd w:val="clear" w:color="auto" w:fill="F2F2F2" w:themeFill="background1" w:themeFillShade="F2"/>
          </w:tcPr>
          <w:p w:rsidR="00E03831" w:rsidRPr="00536F4C" w:rsidP="00D93E80" w14:paraId="3A040361" w14:textId="77777777">
            <w:pPr>
              <w:rPr>
                <w:rFonts w:ascii="Calibri" w:eastAsia="Calibri" w:hAnsi="Calibri" w:cs="Calibri"/>
                <w:b/>
                <w:bCs/>
                <w:noProof/>
                <w:lang w:val="en-GB" w:eastAsia="en-GB"/>
              </w:rPr>
            </w:pPr>
          </w:p>
        </w:tc>
        <w:tc>
          <w:tcPr>
            <w:tcW w:w="284" w:type="dxa"/>
            <w:gridSpan w:val="3"/>
            <w:vMerge w:val="restart"/>
            <w:tcBorders>
              <w:top w:val="nil"/>
              <w:left w:val="nil"/>
              <w:bottom w:val="nil"/>
              <w:right w:val="nil"/>
            </w:tcBorders>
          </w:tcPr>
          <w:p w:rsidR="00E03831" w:rsidRPr="00536F4C" w:rsidP="00D93E80" w14:paraId="4702810C" w14:textId="77777777">
            <w:pPr>
              <w:rPr>
                <w:lang w:val="en-GB"/>
              </w:rPr>
            </w:pPr>
          </w:p>
        </w:tc>
        <w:tc>
          <w:tcPr>
            <w:tcW w:w="8935" w:type="dxa"/>
            <w:tcBorders>
              <w:top w:val="nil"/>
              <w:left w:val="nil"/>
              <w:bottom w:val="nil"/>
              <w:right w:val="nil"/>
            </w:tcBorders>
          </w:tcPr>
          <w:p w:rsidR="00E03831" w:rsidRPr="00536F4C" w:rsidP="00D93E80" w14:paraId="461D8260" w14:textId="289B033C">
            <w:pPr>
              <w:pStyle w:val="ListParagraph"/>
              <w:numPr>
                <w:ilvl w:val="0"/>
                <w:numId w:val="4"/>
              </w:numPr>
              <w:tabs>
                <w:tab w:val="left" w:pos="604"/>
                <w:tab w:val="left" w:pos="9498"/>
              </w:tabs>
              <w:ind w:left="463" w:hanging="426"/>
              <w:jc w:val="both"/>
              <w:rPr>
                <w:rFonts w:ascii="Arial" w:hAnsi="Arial" w:cs="Arial"/>
                <w:lang w:val="en-GB"/>
              </w:rPr>
            </w:pPr>
            <w:r w:rsidRPr="00823F26">
              <w:rPr>
                <w:rFonts w:ascii="Calibri" w:eastAsia="Calibri" w:hAnsi="Calibri" w:cs="Calibri"/>
                <w:b/>
                <w:bCs/>
                <w:i/>
                <w:iCs/>
                <w:spacing w:val="-6"/>
                <w:position w:val="1"/>
                <w:lang w:val="en-GB"/>
              </w:rPr>
              <w:t>How does the use of derivatives attain the environmental or social characteristics promoted by the financial product?</w:t>
            </w:r>
            <w:r w:rsidRPr="00536F4C">
              <w:rPr>
                <w:rFonts w:ascii="Calibri" w:eastAsia="Calibri" w:hAnsi="Calibri" w:cs="Calibri"/>
                <w:b/>
                <w:bCs/>
                <w:spacing w:val="-6"/>
                <w:position w:val="1"/>
                <w:sz w:val="24"/>
                <w:lang w:val="en-GB"/>
              </w:rPr>
              <w:t xml:space="preserve"> </w:t>
            </w:r>
          </w:p>
        </w:tc>
      </w:tr>
      <w:tr w14:paraId="53850ADB" w14:textId="77777777" w:rsidTr="00E0450D">
        <w:tblPrEx>
          <w:tblW w:w="11346" w:type="dxa"/>
          <w:tblInd w:w="-724" w:type="dxa"/>
          <w:tblLayout w:type="fixed"/>
          <w:tblLook w:val="04A0"/>
        </w:tblPrEx>
        <w:trPr>
          <w:gridBefore w:val="1"/>
          <w:gridAfter w:val="1"/>
          <w:wBefore w:w="10" w:type="dxa"/>
          <w:wAfter w:w="132" w:type="dxa"/>
          <w:trHeight w:val="1240"/>
        </w:trPr>
        <w:tc>
          <w:tcPr>
            <w:tcW w:w="1985" w:type="dxa"/>
            <w:gridSpan w:val="3"/>
            <w:vMerge/>
            <w:tcBorders>
              <w:top w:val="nil"/>
              <w:left w:val="nil"/>
              <w:bottom w:val="nil"/>
              <w:right w:val="nil"/>
            </w:tcBorders>
            <w:shd w:val="clear" w:color="auto" w:fill="F2F2F2" w:themeFill="background1" w:themeFillShade="F2"/>
          </w:tcPr>
          <w:p w:rsidR="00E03831" w:rsidRPr="00536F4C" w:rsidP="00D93E80" w14:paraId="752963AC" w14:textId="77777777">
            <w:pPr>
              <w:rPr>
                <w:rFonts w:ascii="Calibri" w:eastAsia="Calibri" w:hAnsi="Calibri" w:cs="Calibri"/>
                <w:b/>
                <w:bCs/>
                <w:noProof/>
                <w:lang w:val="en-GB" w:eastAsia="en-GB"/>
              </w:rPr>
            </w:pPr>
          </w:p>
        </w:tc>
        <w:tc>
          <w:tcPr>
            <w:tcW w:w="284" w:type="dxa"/>
            <w:gridSpan w:val="3"/>
            <w:vMerge/>
            <w:tcBorders>
              <w:top w:val="nil"/>
              <w:left w:val="nil"/>
              <w:bottom w:val="nil"/>
              <w:right w:val="nil"/>
            </w:tcBorders>
          </w:tcPr>
          <w:p w:rsidR="00E03831" w:rsidRPr="00536F4C" w:rsidP="00D93E80" w14:paraId="4FE1A303" w14:textId="77777777">
            <w:pPr>
              <w:rPr>
                <w:lang w:val="en-GB"/>
              </w:rPr>
            </w:pPr>
          </w:p>
        </w:tc>
        <w:tc>
          <w:tcPr>
            <w:tcW w:w="8935" w:type="dxa"/>
            <w:tcBorders>
              <w:top w:val="nil"/>
              <w:left w:val="nil"/>
              <w:bottom w:val="nil"/>
              <w:right w:val="nil"/>
            </w:tcBorders>
          </w:tcPr>
          <w:p w:rsidR="00E03831" w:rsidP="00D93E80" w14:paraId="378E67ED" w14:textId="77777777">
            <w:pPr>
              <w:pStyle w:val="ListParagraph"/>
              <w:tabs>
                <w:tab w:val="num" w:pos="1560"/>
              </w:tabs>
              <w:spacing w:after="0"/>
              <w:ind w:left="321"/>
              <w:jc w:val="both"/>
              <w:rPr>
                <w:rFonts w:ascii="Calibri" w:eastAsia="Calibri" w:hAnsi="Calibri" w:cs="Calibri"/>
                <w:b/>
                <w:bCs/>
                <w:noProof/>
                <w:lang w:val="en-GB" w:eastAsia="en-GB"/>
              </w:rPr>
            </w:pPr>
            <w:r w:rsidRPr="00775CB7">
              <w:rPr>
                <w:noProof/>
                <w:sz w:val="20"/>
                <w:lang w:val="en-GB" w:eastAsia="fr-LU"/>
              </w:rPr>
              <w:t>Derivatives are not used to attain the environmental and social characteristics promoted by the Sub-Fund.</w:t>
            </w:r>
            <w:r w:rsidRPr="00300A55" w:rsidR="00300A55">
              <w:rPr>
                <w:rFonts w:ascii="Calibri" w:eastAsia="Calibri" w:hAnsi="Calibri" w:cs="Calibri"/>
                <w:b/>
                <w:bCs/>
                <w:noProof/>
                <w:lang w:val="en-GB" w:eastAsia="en-GB"/>
              </w:rPr>
              <w:t xml:space="preserve"> </w:t>
            </w:r>
          </w:p>
          <w:p w:rsidR="00D04CC4" w:rsidRPr="00300A55" w:rsidP="00D93E80" w14:paraId="1E3788BA" w14:textId="5CBF723D">
            <w:pPr>
              <w:pStyle w:val="ListParagraph"/>
              <w:tabs>
                <w:tab w:val="num" w:pos="1560"/>
              </w:tabs>
              <w:spacing w:after="0"/>
              <w:ind w:left="321"/>
              <w:jc w:val="both"/>
              <w:rPr>
                <w:rFonts w:ascii="Calibri" w:eastAsia="Calibri" w:hAnsi="Calibri" w:cs="Calibri"/>
                <w:iCs/>
                <w:spacing w:val="-6"/>
                <w:position w:val="1"/>
              </w:rPr>
            </w:pPr>
          </w:p>
        </w:tc>
      </w:tr>
      <w:tr w14:paraId="3BD6F589" w14:textId="77777777" w:rsidTr="0052757A">
        <w:tblPrEx>
          <w:tblW w:w="11346"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090"/>
        </w:trPr>
        <w:tc>
          <w:tcPr>
            <w:tcW w:w="1848" w:type="dxa"/>
            <w:gridSpan w:val="2"/>
            <w:shd w:val="clear" w:color="auto" w:fill="FFFFFF" w:themeFill="background1"/>
          </w:tcPr>
          <w:p w:rsidR="0052757A" w:rsidP="0052757A" w14:paraId="7A0E9B38" w14:textId="77777777">
            <w:pPr>
              <w:autoSpaceDE w:val="0"/>
              <w:autoSpaceDN w:val="0"/>
              <w:adjustRightInd w:val="0"/>
              <w:jc w:val="left"/>
              <w:rPr>
                <w:rFonts w:cs="Arial"/>
                <w:b/>
                <w:bCs/>
                <w:color w:val="000000"/>
                <w:lang w:val="en-US"/>
              </w:rPr>
            </w:pPr>
          </w:p>
          <w:p w:rsidR="0052757A" w:rsidP="0052757A" w14:paraId="62FEC416" w14:textId="77777777">
            <w:pPr>
              <w:autoSpaceDE w:val="0"/>
              <w:autoSpaceDN w:val="0"/>
              <w:adjustRightInd w:val="0"/>
              <w:jc w:val="left"/>
              <w:rPr>
                <w:rFonts w:cs="Arial"/>
                <w:b/>
                <w:bCs/>
                <w:color w:val="000000"/>
                <w:lang w:val="en-US"/>
              </w:rPr>
            </w:pPr>
          </w:p>
          <w:p w:rsidR="0052757A" w:rsidP="0052757A" w14:paraId="63DF1F8E" w14:textId="77777777">
            <w:pPr>
              <w:autoSpaceDE w:val="0"/>
              <w:autoSpaceDN w:val="0"/>
              <w:adjustRightInd w:val="0"/>
              <w:jc w:val="left"/>
              <w:rPr>
                <w:rFonts w:cs="Arial"/>
                <w:b/>
                <w:bCs/>
                <w:color w:val="000000"/>
                <w:lang w:val="en-US"/>
              </w:rPr>
            </w:pPr>
          </w:p>
          <w:p w:rsidR="0052757A" w:rsidP="0052757A" w14:paraId="501631C1" w14:textId="77777777">
            <w:pPr>
              <w:autoSpaceDE w:val="0"/>
              <w:autoSpaceDN w:val="0"/>
              <w:adjustRightInd w:val="0"/>
              <w:jc w:val="left"/>
              <w:rPr>
                <w:rFonts w:cs="Arial"/>
                <w:b/>
                <w:bCs/>
                <w:color w:val="000000"/>
                <w:lang w:val="en-US"/>
              </w:rPr>
            </w:pPr>
          </w:p>
          <w:p w:rsidR="0052757A" w:rsidP="0052757A" w14:paraId="021E01D3" w14:textId="77777777">
            <w:pPr>
              <w:autoSpaceDE w:val="0"/>
              <w:autoSpaceDN w:val="0"/>
              <w:adjustRightInd w:val="0"/>
              <w:jc w:val="left"/>
              <w:rPr>
                <w:rFonts w:cs="Arial"/>
                <w:b/>
                <w:bCs/>
                <w:color w:val="000000"/>
                <w:lang w:val="en-US"/>
              </w:rPr>
            </w:pPr>
          </w:p>
          <w:p w:rsidR="0052757A" w:rsidP="0052757A" w14:paraId="1D3BDB52" w14:textId="77777777">
            <w:pPr>
              <w:autoSpaceDE w:val="0"/>
              <w:autoSpaceDN w:val="0"/>
              <w:adjustRightInd w:val="0"/>
              <w:jc w:val="left"/>
              <w:rPr>
                <w:rFonts w:cs="Arial"/>
                <w:b/>
                <w:bCs/>
                <w:color w:val="000000"/>
                <w:lang w:val="en-US"/>
              </w:rPr>
            </w:pPr>
          </w:p>
          <w:p w:rsidR="0052757A" w:rsidP="0052757A" w14:paraId="3504A03E" w14:textId="77777777">
            <w:pPr>
              <w:autoSpaceDE w:val="0"/>
              <w:autoSpaceDN w:val="0"/>
              <w:adjustRightInd w:val="0"/>
              <w:jc w:val="left"/>
              <w:rPr>
                <w:rFonts w:cs="Arial"/>
                <w:b/>
                <w:bCs/>
                <w:color w:val="000000"/>
                <w:lang w:val="en-US"/>
              </w:rPr>
            </w:pPr>
          </w:p>
          <w:p w:rsidR="0052757A" w:rsidP="0052757A" w14:paraId="2603182D" w14:textId="77777777">
            <w:pPr>
              <w:autoSpaceDE w:val="0"/>
              <w:autoSpaceDN w:val="0"/>
              <w:adjustRightInd w:val="0"/>
              <w:jc w:val="left"/>
              <w:rPr>
                <w:rFonts w:cs="Arial"/>
                <w:b/>
                <w:bCs/>
                <w:color w:val="000000"/>
                <w:lang w:val="en-US"/>
              </w:rPr>
            </w:pPr>
          </w:p>
          <w:p w:rsidR="00F17FAC" w:rsidRPr="0052757A" w:rsidP="0052757A" w14:paraId="52D9D307" w14:textId="7C2F3054">
            <w:pPr>
              <w:jc w:val="left"/>
              <w:rPr>
                <w:rFonts w:ascii="Calibri" w:eastAsia="Calibri" w:hAnsi="Calibri" w:cs="Calibri"/>
                <w:b/>
                <w:bCs/>
                <w:noProof/>
                <w:lang w:val="en-US" w:eastAsia="en-GB"/>
              </w:rPr>
            </w:pPr>
          </w:p>
        </w:tc>
        <w:tc>
          <w:tcPr>
            <w:tcW w:w="421" w:type="dxa"/>
            <w:gridSpan w:val="4"/>
            <w:vMerge w:val="restart"/>
          </w:tcPr>
          <w:p w:rsidR="00F17FAC" w:rsidRPr="00536F4C" w:rsidP="00D93E80" w14:paraId="0981A6F0" w14:textId="7E8008B4">
            <w:pPr>
              <w:rPr>
                <w:lang w:val="en-GB"/>
              </w:rPr>
            </w:pPr>
          </w:p>
        </w:tc>
        <w:tc>
          <w:tcPr>
            <w:tcW w:w="9077" w:type="dxa"/>
            <w:gridSpan w:val="3"/>
          </w:tcPr>
          <w:p w:rsidR="00003366" w:rsidP="00003366" w14:paraId="3BBA4CB2" w14:textId="7C865267">
            <w:pPr>
              <w:rPr>
                <w:rFonts w:ascii="Calibri" w:eastAsia="Calibri" w:hAnsi="Calibri" w:cs="Calibri"/>
                <w:b/>
                <w:bCs/>
                <w:spacing w:val="-6"/>
                <w:position w:val="1"/>
                <w:sz w:val="24"/>
                <w:lang w:val="en-GB"/>
              </w:rPr>
            </w:pPr>
          </w:p>
          <w:p w:rsidR="00F17FAC" w:rsidP="00D93E80" w14:paraId="489B0D1E" w14:textId="34D07236">
            <w:pPr>
              <w:ind w:left="604"/>
              <w:rPr>
                <w:i/>
                <w:color w:val="C00000"/>
                <w:sz w:val="18"/>
                <w:lang w:val="en-GB"/>
              </w:rPr>
            </w:pPr>
            <w:r w:rsidRPr="00536F4C">
              <w:rPr>
                <w:noProof/>
                <w:lang w:val="fr-FR" w:eastAsia="zh-CN"/>
              </w:rPr>
              <w:drawing>
                <wp:anchor distT="0" distB="0" distL="114300" distR="114300" simplePos="0" relativeHeight="251671552" behindDoc="0" locked="0" layoutInCell="1" allowOverlap="1">
                  <wp:simplePos x="0" y="0"/>
                  <wp:positionH relativeFrom="column">
                    <wp:posOffset>-3175</wp:posOffset>
                  </wp:positionH>
                  <wp:positionV relativeFrom="paragraph">
                    <wp:posOffset>10160</wp:posOffset>
                  </wp:positionV>
                  <wp:extent cx="329208" cy="358267"/>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9208" cy="358267"/>
                          </a:xfrm>
                          <a:prstGeom prst="rect">
                            <a:avLst/>
                          </a:prstGeom>
                        </pic:spPr>
                      </pic:pic>
                    </a:graphicData>
                  </a:graphic>
                </wp:anchor>
              </w:drawing>
            </w:r>
            <w:r w:rsidRPr="00536F4C">
              <w:rPr>
                <w:rFonts w:ascii="Calibri" w:eastAsia="Calibri" w:hAnsi="Calibri" w:cs="Calibri"/>
                <w:b/>
                <w:bCs/>
                <w:spacing w:val="-6"/>
                <w:position w:val="1"/>
                <w:sz w:val="24"/>
                <w:lang w:val="en-GB"/>
              </w:rPr>
              <w:t>To what minimum extent are sustainable investments with an environmental objective aligned with the EU Taxonomy?</w:t>
            </w:r>
            <w:r w:rsidRPr="00536F4C">
              <w:rPr>
                <w:i/>
                <w:color w:val="C00000"/>
                <w:sz w:val="18"/>
                <w:lang w:val="en-GB"/>
              </w:rPr>
              <w:t xml:space="preserve"> </w:t>
            </w:r>
          </w:p>
          <w:p w:rsidR="00F17FAC" w:rsidP="00D93E80" w14:paraId="2FDC7CD8" w14:textId="77777777">
            <w:pPr>
              <w:ind w:left="604"/>
              <w:rPr>
                <w:i/>
                <w:color w:val="C00000"/>
                <w:sz w:val="18"/>
                <w:lang w:val="en-GB"/>
              </w:rPr>
            </w:pPr>
          </w:p>
          <w:p w:rsidR="00F17FAC" w:rsidP="000D0DB0" w14:paraId="38AE3313" w14:textId="77777777">
            <w:pPr>
              <w:pStyle w:val="ListParagraph"/>
              <w:tabs>
                <w:tab w:val="num" w:pos="1560"/>
              </w:tabs>
              <w:ind w:left="179"/>
              <w:jc w:val="both"/>
              <w:rPr>
                <w:rFonts w:ascii="Calibri" w:eastAsia="Calibri" w:hAnsi="Calibri" w:cs="Calibri"/>
                <w:iCs/>
                <w:spacing w:val="-6"/>
                <w:position w:val="1"/>
                <w:lang w:val="en-GB"/>
              </w:rPr>
            </w:pPr>
            <w:r>
              <w:rPr>
                <w:rFonts w:ascii="Calibri" w:eastAsia="Calibri" w:hAnsi="Calibri" w:cs="Calibri"/>
                <w:iCs/>
                <w:spacing w:val="-6"/>
                <w:position w:val="1"/>
                <w:lang w:val="en-GB"/>
              </w:rPr>
              <w:t>The Sub-Fund has no minimum share of investments with an environmental objective that are aligned with the EU Taxonomy.</w:t>
            </w:r>
          </w:p>
          <w:p w:rsidR="00F17FAC" w:rsidRPr="000D0DB0" w:rsidP="000D0DB0" w14:paraId="4DEDEE2C" w14:textId="7F530B11">
            <w:pPr>
              <w:rPr>
                <w:rFonts w:ascii="Calibri" w:eastAsia="Calibri" w:hAnsi="Calibri" w:cs="Calibri"/>
                <w:b/>
                <w:bCs/>
                <w:spacing w:val="-6"/>
                <w:position w:val="1"/>
                <w:sz w:val="24"/>
                <w:lang w:val="en-US"/>
              </w:rPr>
            </w:pPr>
          </w:p>
        </w:tc>
      </w:tr>
      <w:tr w14:paraId="39CB2321" w14:textId="77777777" w:rsidTr="0052757A">
        <w:tblPrEx>
          <w:tblW w:w="11346"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202"/>
        </w:trPr>
        <w:tc>
          <w:tcPr>
            <w:tcW w:w="1848" w:type="dxa"/>
            <w:gridSpan w:val="2"/>
            <w:shd w:val="clear" w:color="auto" w:fill="F2F2F2" w:themeFill="background1" w:themeFillShade="F2"/>
          </w:tcPr>
          <w:p w:rsidR="0052757A" w:rsidRPr="0052757A" w:rsidP="0052757A" w14:paraId="395E0884" w14:textId="77777777">
            <w:pPr>
              <w:autoSpaceDE w:val="0"/>
              <w:autoSpaceDN w:val="0"/>
              <w:adjustRightInd w:val="0"/>
              <w:jc w:val="left"/>
              <w:rPr>
                <w:rFonts w:cs="Arial"/>
                <w:color w:val="000000"/>
                <w:lang w:val="en-US"/>
              </w:rPr>
            </w:pPr>
            <w:r w:rsidRPr="0052757A">
              <w:rPr>
                <w:rFonts w:cs="Arial"/>
                <w:b/>
                <w:bCs/>
                <w:color w:val="000000"/>
                <w:lang w:val="en-US"/>
              </w:rPr>
              <w:t xml:space="preserve">Enabling activities </w:t>
            </w:r>
            <w:r w:rsidRPr="0052757A">
              <w:rPr>
                <w:rFonts w:cs="Arial"/>
                <w:color w:val="000000"/>
                <w:lang w:val="en-US"/>
              </w:rPr>
              <w:t xml:space="preserve">directly enable other activities to make a substantial contribution to an environmental objective. </w:t>
            </w:r>
          </w:p>
          <w:p w:rsidR="00F17FAC" w:rsidRPr="0052757A" w:rsidP="0052757A" w14:paraId="7438CE1A" w14:textId="67798F7C">
            <w:pPr>
              <w:rPr>
                <w:rFonts w:ascii="Calibri" w:eastAsia="Calibri" w:hAnsi="Calibri" w:cs="Calibri"/>
                <w:b/>
                <w:bCs/>
                <w:noProof/>
                <w:lang w:val="en-US" w:eastAsia="zh-CN"/>
              </w:rPr>
            </w:pPr>
            <w:r w:rsidRPr="0052757A">
              <w:rPr>
                <w:rFonts w:cs="Arial"/>
                <w:b/>
                <w:bCs/>
                <w:color w:val="000000"/>
                <w:lang w:val="en-US"/>
              </w:rPr>
              <w:t xml:space="preserve">Transitional activities are </w:t>
            </w:r>
            <w:r w:rsidRPr="0052757A">
              <w:rPr>
                <w:rFonts w:cs="Arial"/>
                <w:color w:val="000000"/>
                <w:lang w:val="en-US"/>
              </w:rPr>
              <w:t>activities for which low-carbon alternatives are not yet available and among others have greenhouse gas emission levels corresponding to the best performance.</w:t>
            </w:r>
          </w:p>
        </w:tc>
        <w:tc>
          <w:tcPr>
            <w:tcW w:w="421" w:type="dxa"/>
            <w:gridSpan w:val="4"/>
            <w:vMerge/>
          </w:tcPr>
          <w:p w:rsidR="00F17FAC" w:rsidRPr="00536F4C" w:rsidP="00D93E80" w14:paraId="4247C311" w14:textId="77777777">
            <w:pPr>
              <w:rPr>
                <w:lang w:val="en-GB"/>
              </w:rPr>
            </w:pPr>
          </w:p>
        </w:tc>
        <w:tc>
          <w:tcPr>
            <w:tcW w:w="9077" w:type="dxa"/>
            <w:gridSpan w:val="3"/>
          </w:tcPr>
          <w:tbl>
            <w:tblPr>
              <w:tblStyle w:val="TableGrid"/>
              <w:tblW w:w="10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830"/>
            </w:tblGrid>
            <w:tr w14:paraId="5B0A13E1" w14:textId="77777777" w:rsidTr="00F17FAC">
              <w:tblPrEx>
                <w:tblW w:w="10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202"/>
              </w:trPr>
              <w:tc>
                <w:tcPr>
                  <w:tcW w:w="8639" w:type="dxa"/>
                  <w:shd w:val="clear" w:color="auto" w:fill="FAE9D7"/>
                </w:tcPr>
                <w:p w:rsidR="00F17FAC" w:rsidRPr="00A64ED8" w:rsidP="00F17FAC" w14:paraId="06AF93DE" w14:textId="77777777">
                  <w:pPr>
                    <w:tabs>
                      <w:tab w:val="num" w:pos="1560"/>
                    </w:tabs>
                    <w:rPr>
                      <w:rFonts w:ascii="Calibri" w:eastAsia="Calibri" w:hAnsi="Calibri" w:cs="Calibri"/>
                      <w:b/>
                      <w:bCs/>
                      <w:i/>
                      <w:spacing w:val="-6"/>
                      <w:position w:val="1"/>
                      <w:sz w:val="21"/>
                      <w:lang w:val="en-US"/>
                    </w:rPr>
                  </w:pPr>
                </w:p>
                <w:p w:rsidR="00F17FAC" w:rsidP="00F17FAC" w14:paraId="0E7A832D" w14:textId="14A7DD74">
                  <w:pPr>
                    <w:pStyle w:val="Default"/>
                    <w:jc w:val="both"/>
                    <w:rPr>
                      <w:b/>
                      <w:bCs/>
                      <w:i/>
                      <w:iCs/>
                      <w:sz w:val="21"/>
                      <w:szCs w:val="20"/>
                      <w:lang w:val="en-US"/>
                    </w:rPr>
                  </w:pPr>
                  <w:r w:rsidRPr="00EB676F">
                    <w:rPr>
                      <w:b/>
                      <w:bCs/>
                      <w:i/>
                      <w:iCs/>
                      <w:sz w:val="21"/>
                      <w:szCs w:val="20"/>
                      <w:lang w:val="en-US"/>
                    </w:rPr>
                    <w:t>The two graphs below show in green the minimum percentage of investments that are aligned with</w:t>
                  </w:r>
                </w:p>
                <w:p w:rsidR="00F17FAC" w:rsidP="00F17FAC" w14:paraId="6570EFB7" w14:textId="2F5C94C7">
                  <w:pPr>
                    <w:pStyle w:val="Default"/>
                    <w:jc w:val="both"/>
                    <w:rPr>
                      <w:b/>
                      <w:bCs/>
                      <w:i/>
                      <w:iCs/>
                      <w:sz w:val="21"/>
                      <w:szCs w:val="20"/>
                      <w:lang w:val="en-US"/>
                    </w:rPr>
                  </w:pPr>
                  <w:r w:rsidRPr="00EB676F">
                    <w:rPr>
                      <w:b/>
                      <w:bCs/>
                      <w:i/>
                      <w:iCs/>
                      <w:sz w:val="21"/>
                      <w:szCs w:val="20"/>
                      <w:lang w:val="en-US"/>
                    </w:rPr>
                    <w:t xml:space="preserve"> the EU Taxonomy. As there is no appropriate methodology to determine the Taxonomy-alignment</w:t>
                  </w:r>
                </w:p>
                <w:p w:rsidR="00F17FAC" w:rsidP="00F17FAC" w14:paraId="4BB89F64" w14:textId="07778C91">
                  <w:pPr>
                    <w:pStyle w:val="Default"/>
                    <w:jc w:val="both"/>
                    <w:rPr>
                      <w:b/>
                      <w:bCs/>
                      <w:i/>
                      <w:iCs/>
                      <w:sz w:val="21"/>
                      <w:szCs w:val="20"/>
                      <w:lang w:val="en-US"/>
                    </w:rPr>
                  </w:pPr>
                  <w:r w:rsidRPr="00EB676F">
                    <w:rPr>
                      <w:b/>
                      <w:bCs/>
                      <w:i/>
                      <w:iCs/>
                      <w:sz w:val="21"/>
                      <w:szCs w:val="20"/>
                      <w:lang w:val="en-US"/>
                    </w:rPr>
                    <w:t xml:space="preserve"> of sovereign bonds*, the first graph shows the Taxonomy alignment in relation to all the </w:t>
                  </w:r>
                </w:p>
                <w:p w:rsidR="00F17FAC" w:rsidP="00F17FAC" w14:paraId="773224F7" w14:textId="583F3DA4">
                  <w:pPr>
                    <w:pStyle w:val="Default"/>
                    <w:jc w:val="both"/>
                    <w:rPr>
                      <w:b/>
                      <w:bCs/>
                      <w:i/>
                      <w:iCs/>
                      <w:sz w:val="21"/>
                      <w:szCs w:val="20"/>
                      <w:lang w:val="en-US"/>
                    </w:rPr>
                  </w:pPr>
                  <w:r w:rsidRPr="00EB676F">
                    <w:rPr>
                      <w:b/>
                      <w:bCs/>
                      <w:i/>
                      <w:iCs/>
                      <w:sz w:val="21"/>
                      <w:szCs w:val="20"/>
                      <w:lang w:val="en-US"/>
                    </w:rPr>
                    <w:t>investments of the financial product including sovereign bonds, while the second graph shows the</w:t>
                  </w:r>
                </w:p>
                <w:p w:rsidR="00F17FAC" w:rsidP="00F17FAC" w14:paraId="0F391584" w14:textId="3C16ACCB">
                  <w:pPr>
                    <w:pStyle w:val="Default"/>
                    <w:jc w:val="both"/>
                    <w:rPr>
                      <w:b/>
                      <w:bCs/>
                      <w:i/>
                      <w:iCs/>
                      <w:sz w:val="21"/>
                      <w:szCs w:val="20"/>
                      <w:lang w:val="en-US"/>
                    </w:rPr>
                  </w:pPr>
                  <w:r w:rsidRPr="00EB676F">
                    <w:rPr>
                      <w:b/>
                      <w:bCs/>
                      <w:i/>
                      <w:iCs/>
                      <w:sz w:val="21"/>
                      <w:szCs w:val="20"/>
                      <w:lang w:val="en-US"/>
                    </w:rPr>
                    <w:t xml:space="preserve">Taxonomy alignment only in relation to the investments of the financial product other than </w:t>
                  </w:r>
                </w:p>
                <w:p w:rsidR="00F17FAC" w:rsidRPr="007F3A6D" w:rsidP="00F17FAC" w14:paraId="18C86652" w14:textId="2F82B6E6">
                  <w:pPr>
                    <w:pStyle w:val="Default"/>
                    <w:jc w:val="both"/>
                    <w:rPr>
                      <w:sz w:val="21"/>
                      <w:szCs w:val="20"/>
                      <w:lang w:val="en-US"/>
                    </w:rPr>
                  </w:pPr>
                  <w:r>
                    <w:rPr>
                      <w:rFonts w:eastAsia="Calibri"/>
                      <w:b/>
                      <w:bCs/>
                      <w:i/>
                      <w:iCs/>
                      <w:noProof/>
                      <w:spacing w:val="-6"/>
                      <w:position w:val="1"/>
                    </w:rPr>
                    <w:drawing>
                      <wp:anchor distT="0" distB="0" distL="114300" distR="114300" simplePos="0" relativeHeight="251706368" behindDoc="0" locked="0" layoutInCell="1" allowOverlap="1">
                        <wp:simplePos x="0" y="0"/>
                        <wp:positionH relativeFrom="column">
                          <wp:posOffset>2726690</wp:posOffset>
                        </wp:positionH>
                        <wp:positionV relativeFrom="paragraph">
                          <wp:posOffset>326390</wp:posOffset>
                        </wp:positionV>
                        <wp:extent cx="2254682" cy="2338705"/>
                        <wp:effectExtent l="0" t="0" r="12700" b="4445"/>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r>
                    <w:rPr>
                      <w:rFonts w:eastAsia="Calibri"/>
                      <w:b/>
                      <w:bCs/>
                      <w:i/>
                      <w:iCs/>
                      <w:noProof/>
                      <w:spacing w:val="-6"/>
                      <w:position w:val="1"/>
                    </w:rPr>
                    <w:drawing>
                      <wp:anchor distT="0" distB="0" distL="114300" distR="114300" simplePos="0" relativeHeight="251705344" behindDoc="0" locked="0" layoutInCell="1" allowOverlap="1">
                        <wp:simplePos x="0" y="0"/>
                        <wp:positionH relativeFrom="column">
                          <wp:posOffset>214096</wp:posOffset>
                        </wp:positionH>
                        <wp:positionV relativeFrom="paragraph">
                          <wp:posOffset>327882</wp:posOffset>
                        </wp:positionV>
                        <wp:extent cx="2255146" cy="2338705"/>
                        <wp:effectExtent l="0" t="0" r="12065" b="444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EB676F">
                    <w:rPr>
                      <w:b/>
                      <w:bCs/>
                      <w:i/>
                      <w:iCs/>
                      <w:sz w:val="21"/>
                      <w:szCs w:val="20"/>
                      <w:lang w:val="en-US"/>
                    </w:rPr>
                    <w:t xml:space="preserve">sovereign bonds. </w:t>
                  </w:r>
                </w:p>
              </w:tc>
            </w:tr>
            <w:tr w14:paraId="6A809B3E" w14:textId="77777777" w:rsidTr="00F17FAC">
              <w:tblPrEx>
                <w:tblW w:w="10830" w:type="dxa"/>
                <w:tblLayout w:type="fixed"/>
                <w:tblLook w:val="04A0"/>
              </w:tblPrEx>
              <w:trPr>
                <w:trHeight w:val="87"/>
              </w:trPr>
              <w:tc>
                <w:tcPr>
                  <w:tcW w:w="8639" w:type="dxa"/>
                  <w:shd w:val="clear" w:color="auto" w:fill="FAE9D7"/>
                </w:tcPr>
                <w:p w:rsidR="00F17FAC" w:rsidRPr="0066549A" w:rsidP="00F17FAC" w14:paraId="2CA99281" w14:textId="77777777">
                  <w:pPr>
                    <w:pStyle w:val="Default"/>
                    <w:jc w:val="both"/>
                    <w:rPr>
                      <w:sz w:val="20"/>
                      <w:szCs w:val="20"/>
                      <w:lang w:val="en-US"/>
                    </w:rPr>
                  </w:pPr>
                  <w:r w:rsidRPr="0066549A">
                    <w:rPr>
                      <w:sz w:val="20"/>
                      <w:szCs w:val="20"/>
                      <w:lang w:val="en-US"/>
                    </w:rPr>
                    <w:t xml:space="preserve">* </w:t>
                  </w:r>
                  <w:r w:rsidRPr="0066549A">
                    <w:rPr>
                      <w:i/>
                      <w:iCs/>
                      <w:sz w:val="20"/>
                      <w:szCs w:val="20"/>
                      <w:lang w:val="en-US"/>
                    </w:rPr>
                    <w:t xml:space="preserve">For the purpose of these graphs, ‘sovereign bonds’ consist of all sovereign exposures </w:t>
                  </w:r>
                </w:p>
                <w:p w:rsidR="00F17FAC" w:rsidRPr="0066549A" w:rsidP="00F17FAC" w14:paraId="00662AB2" w14:textId="77777777">
                  <w:pPr>
                    <w:tabs>
                      <w:tab w:val="num" w:pos="1560"/>
                    </w:tabs>
                    <w:rPr>
                      <w:rFonts w:ascii="Calibri" w:eastAsia="Calibri" w:hAnsi="Calibri" w:cs="Calibri"/>
                      <w:b/>
                      <w:bCs/>
                      <w:i/>
                      <w:spacing w:val="-6"/>
                      <w:position w:val="1"/>
                      <w:lang w:val="en-US"/>
                    </w:rPr>
                  </w:pPr>
                </w:p>
              </w:tc>
            </w:tr>
          </w:tbl>
          <w:p w:rsidR="00F17FAC" w:rsidRPr="00F17FAC" w:rsidP="00D93E80" w14:paraId="56133452" w14:textId="77777777">
            <w:pPr>
              <w:ind w:left="604"/>
              <w:rPr>
                <w:noProof/>
                <w:lang w:val="en-US" w:eastAsia="zh-CN"/>
              </w:rPr>
            </w:pPr>
          </w:p>
        </w:tc>
      </w:tr>
      <w:tr w14:paraId="11EFF7C7" w14:textId="77777777" w:rsidTr="00003366">
        <w:tblPrEx>
          <w:tblW w:w="11346"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gridAfter w:val="4"/>
          <w:wAfter w:w="9155" w:type="dxa"/>
          <w:trHeight w:val="87"/>
        </w:trPr>
        <w:tc>
          <w:tcPr>
            <w:tcW w:w="1918" w:type="dxa"/>
            <w:gridSpan w:val="3"/>
          </w:tcPr>
          <w:p w:rsidR="000D0DB0" w:rsidRPr="007F3A6D" w:rsidP="007D1F61" w14:paraId="25305BD8" w14:textId="548CE4C2">
            <w:pPr>
              <w:rPr>
                <w:rFonts w:ascii="Calibri" w:eastAsia="Calibri" w:hAnsi="Calibri" w:cs="Calibri"/>
                <w:b/>
                <w:bCs/>
                <w:noProof/>
                <w:lang w:val="en-US" w:eastAsia="zh-CN"/>
              </w:rPr>
            </w:pPr>
          </w:p>
        </w:tc>
        <w:tc>
          <w:tcPr>
            <w:tcW w:w="273" w:type="dxa"/>
            <w:gridSpan w:val="2"/>
          </w:tcPr>
          <w:p w:rsidR="000D0DB0" w:rsidRPr="007F3A6D" w:rsidP="007D1F61" w14:paraId="4B4025D1" w14:textId="77777777">
            <w:pPr>
              <w:rPr>
                <w:lang w:val="en-US"/>
              </w:rPr>
            </w:pPr>
          </w:p>
        </w:tc>
      </w:tr>
    </w:tbl>
    <w:p w:rsidR="00F17FAC" w:rsidP="007D1F61" w14:paraId="28D17CF6" w14:textId="77777777">
      <w:pPr>
        <w:rPr>
          <w:rFonts w:ascii="Calibri" w:eastAsia="Calibri" w:hAnsi="Calibri" w:cs="Calibri"/>
          <w:b/>
          <w:bCs/>
          <w:noProof/>
          <w:lang w:val="en-US" w:eastAsia="en-GB"/>
        </w:rPr>
        <w:sectPr w:rsidSect="00193F49">
          <w:type w:val="continuous"/>
          <w:pgSz w:w="11900" w:h="16840" w:code="9"/>
          <w:pgMar w:top="709" w:right="720" w:bottom="142" w:left="720" w:header="709" w:footer="709" w:gutter="0"/>
          <w:cols w:space="708"/>
          <w:titlePg/>
          <w:docGrid w:linePitch="360"/>
        </w:sectPr>
      </w:pPr>
    </w:p>
    <w:tbl>
      <w:tblPr>
        <w:tblStyle w:val="TableGrid"/>
        <w:tblW w:w="11204"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5"/>
        <w:gridCol w:w="284"/>
        <w:gridCol w:w="8935"/>
      </w:tblGrid>
      <w:tr w14:paraId="2629B360" w14:textId="77777777" w:rsidTr="00F17FAC">
        <w:tblPrEx>
          <w:tblW w:w="11204"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580"/>
        </w:trPr>
        <w:tc>
          <w:tcPr>
            <w:tcW w:w="1985" w:type="dxa"/>
            <w:vMerge w:val="restart"/>
          </w:tcPr>
          <w:p w:rsidR="00F17FAC" w:rsidRPr="0066549A" w:rsidP="007D1F61" w14:paraId="716CF62D" w14:textId="7B1B68B2">
            <w:pPr>
              <w:rPr>
                <w:rFonts w:ascii="Calibri" w:eastAsia="Calibri" w:hAnsi="Calibri" w:cs="Calibri"/>
                <w:b/>
                <w:bCs/>
                <w:noProof/>
                <w:lang w:val="en-US" w:eastAsia="en-GB"/>
              </w:rPr>
            </w:pPr>
          </w:p>
          <w:p w:rsidR="00F17FAC" w:rsidRPr="0066549A" w:rsidP="007D1F61" w14:paraId="33E72747" w14:textId="0971A085">
            <w:pPr>
              <w:rPr>
                <w:rFonts w:ascii="Calibri" w:eastAsia="Calibri" w:hAnsi="Calibri" w:cs="Calibri"/>
                <w:b/>
                <w:bCs/>
                <w:noProof/>
                <w:lang w:val="en-US" w:eastAsia="en-GB"/>
              </w:rPr>
            </w:pPr>
            <w:r w:rsidRPr="00536F4C">
              <w:rPr>
                <w:noProof/>
                <w:lang w:val="fr-FR" w:eastAsia="zh-CN"/>
              </w:rPr>
              <w:drawing>
                <wp:anchor distT="0" distB="0" distL="114300" distR="114300" simplePos="0" relativeHeight="251704320" behindDoc="0" locked="0" layoutInCell="1" allowOverlap="1">
                  <wp:simplePos x="0" y="0"/>
                  <wp:positionH relativeFrom="column">
                    <wp:posOffset>1194806</wp:posOffset>
                  </wp:positionH>
                  <wp:positionV relativeFrom="paragraph">
                    <wp:posOffset>2102485</wp:posOffset>
                  </wp:positionV>
                  <wp:extent cx="518160" cy="47815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8160" cy="478155"/>
                          </a:xfrm>
                          <a:prstGeom prst="rect">
                            <a:avLst/>
                          </a:prstGeom>
                        </pic:spPr>
                      </pic:pic>
                    </a:graphicData>
                  </a:graphic>
                </wp:anchor>
              </w:drawing>
            </w:r>
          </w:p>
        </w:tc>
        <w:tc>
          <w:tcPr>
            <w:tcW w:w="284" w:type="dxa"/>
            <w:vMerge w:val="restart"/>
          </w:tcPr>
          <w:p w:rsidR="00F17FAC" w:rsidRPr="0066549A" w:rsidP="007D1F61" w14:paraId="45DA948D" w14:textId="77777777">
            <w:pPr>
              <w:rPr>
                <w:lang w:val="en-US"/>
              </w:rPr>
            </w:pPr>
          </w:p>
        </w:tc>
        <w:tc>
          <w:tcPr>
            <w:tcW w:w="8935" w:type="dxa"/>
          </w:tcPr>
          <w:p w:rsidR="00F17FAC" w:rsidRPr="00536F4C" w:rsidP="007D1F61" w14:paraId="6D81C32E" w14:textId="23C0FD1E">
            <w:pPr>
              <w:pStyle w:val="ListParagraph"/>
              <w:numPr>
                <w:ilvl w:val="0"/>
                <w:numId w:val="4"/>
              </w:numPr>
              <w:tabs>
                <w:tab w:val="left" w:pos="9498"/>
              </w:tabs>
              <w:spacing w:after="0"/>
              <w:ind w:left="321" w:hanging="284"/>
              <w:jc w:val="both"/>
              <w:rPr>
                <w:noProof/>
                <w:lang w:val="en-GB" w:eastAsia="fr-LU"/>
              </w:rPr>
            </w:pPr>
            <w:r w:rsidRPr="009C225B">
              <w:rPr>
                <w:rFonts w:ascii="Calibri" w:eastAsia="Calibri" w:hAnsi="Calibri" w:cs="Calibri"/>
                <w:b/>
                <w:bCs/>
                <w:i/>
                <w:iCs/>
                <w:spacing w:val="-6"/>
                <w:position w:val="1"/>
                <w:lang w:val="en-GB"/>
              </w:rPr>
              <w:t>What is the minimum share of investments in transitional and enabling activities?</w:t>
            </w:r>
            <w:r w:rsidRPr="00536F4C">
              <w:rPr>
                <w:rFonts w:ascii="Calibri" w:eastAsia="Calibri" w:hAnsi="Calibri" w:cs="Calibri"/>
                <w:b/>
                <w:bCs/>
                <w:spacing w:val="-6"/>
                <w:position w:val="1"/>
                <w:sz w:val="24"/>
                <w:lang w:val="en-GB"/>
              </w:rPr>
              <w:t xml:space="preserve"> </w:t>
            </w:r>
          </w:p>
        </w:tc>
      </w:tr>
      <w:tr w14:paraId="57CBCBE5" w14:textId="77777777" w:rsidTr="00F17FAC">
        <w:tblPrEx>
          <w:tblW w:w="11204" w:type="dxa"/>
          <w:tblInd w:w="-724" w:type="dxa"/>
          <w:tblLayout w:type="fixed"/>
          <w:tblLook w:val="04A0"/>
        </w:tblPrEx>
        <w:trPr>
          <w:trHeight w:val="2976"/>
        </w:trPr>
        <w:tc>
          <w:tcPr>
            <w:tcW w:w="1985" w:type="dxa"/>
            <w:vMerge/>
          </w:tcPr>
          <w:p w:rsidR="00F17FAC" w:rsidRPr="0062335C" w:rsidP="007D1F61" w14:paraId="3A1E6AD9" w14:textId="77777777">
            <w:pPr>
              <w:rPr>
                <w:rFonts w:ascii="Calibri" w:eastAsia="Calibri" w:hAnsi="Calibri" w:cs="Calibri"/>
                <w:b/>
                <w:bCs/>
                <w:noProof/>
                <w:lang w:val="en-US" w:eastAsia="zh-CN"/>
              </w:rPr>
            </w:pPr>
          </w:p>
        </w:tc>
        <w:tc>
          <w:tcPr>
            <w:tcW w:w="284" w:type="dxa"/>
            <w:vMerge/>
          </w:tcPr>
          <w:p w:rsidR="00F17FAC" w:rsidRPr="0066549A" w:rsidP="007D1F61" w14:paraId="3BF5D19C" w14:textId="77777777">
            <w:pPr>
              <w:rPr>
                <w:lang w:val="en-US"/>
              </w:rPr>
            </w:pPr>
          </w:p>
        </w:tc>
        <w:tc>
          <w:tcPr>
            <w:tcW w:w="8935" w:type="dxa"/>
          </w:tcPr>
          <w:p w:rsidR="00DD23E5" w:rsidP="00DD23E5" w14:paraId="36BD6100" w14:textId="77777777">
            <w:pPr>
              <w:tabs>
                <w:tab w:val="left" w:pos="9498"/>
              </w:tabs>
              <w:rPr>
                <w:noProof/>
                <w:lang w:val="en-GB" w:eastAsia="fr-LU"/>
              </w:rPr>
            </w:pPr>
          </w:p>
          <w:p w:rsidR="00D04CC4" w:rsidP="004935AA" w14:paraId="4125CAFC" w14:textId="77777777">
            <w:pPr>
              <w:tabs>
                <w:tab w:val="left" w:pos="9498"/>
              </w:tabs>
              <w:jc w:val="left"/>
              <w:rPr>
                <w:rFonts w:asciiTheme="minorHAnsi" w:hAnsiTheme="minorHAnsi" w:cstheme="minorHAnsi"/>
                <w:noProof/>
                <w:sz w:val="22"/>
                <w:szCs w:val="22"/>
                <w:lang w:val="en-GB"/>
              </w:rPr>
            </w:pPr>
            <w:r>
              <w:rPr>
                <w:rFonts w:asciiTheme="minorHAnsi" w:hAnsiTheme="minorHAnsi" w:cstheme="minorHAnsi"/>
                <w:noProof/>
                <w:sz w:val="22"/>
                <w:szCs w:val="22"/>
                <w:lang w:val="en-GB"/>
              </w:rPr>
              <w:t xml:space="preserve">   </w:t>
            </w:r>
            <w:r w:rsidRPr="00DD23E5" w:rsidR="00F17FAC">
              <w:rPr>
                <w:rFonts w:asciiTheme="minorHAnsi" w:hAnsiTheme="minorHAnsi" w:cstheme="minorHAnsi"/>
                <w:noProof/>
                <w:sz w:val="22"/>
                <w:szCs w:val="22"/>
                <w:lang w:val="en-GB"/>
              </w:rPr>
              <w:t>The funds has no minimum proportion of investment in transitional or enabling activities.</w:t>
            </w:r>
          </w:p>
          <w:p w:rsidR="00F17FAC" w:rsidRPr="00DD23E5" w:rsidP="004935AA" w14:paraId="60773226" w14:textId="6D35B9CC">
            <w:pPr>
              <w:tabs>
                <w:tab w:val="left" w:pos="9498"/>
              </w:tabs>
              <w:jc w:val="left"/>
              <w:rPr>
                <w:rFonts w:ascii="Calibri" w:eastAsia="Calibri" w:hAnsi="Calibri" w:cs="Calibri"/>
                <w:b/>
                <w:bCs/>
                <w:i/>
                <w:iCs/>
                <w:spacing w:val="-6"/>
                <w:position w:val="1"/>
                <w:lang w:val="en-GB"/>
              </w:rPr>
            </w:pPr>
            <w:r w:rsidRPr="00DD23E5">
              <w:rPr>
                <w:b/>
                <w:bCs/>
                <w:i/>
                <w:iCs/>
                <w:noProof/>
                <w:sz w:val="21"/>
              </w:rPr>
              <w:t xml:space="preserve"> </w:t>
            </w:r>
          </w:p>
        </w:tc>
      </w:tr>
      <w:tr w14:paraId="1B9001E4" w14:textId="77777777" w:rsidTr="00D94C4A">
        <w:tblPrEx>
          <w:tblW w:w="11204" w:type="dxa"/>
          <w:tblInd w:w="-724" w:type="dxa"/>
          <w:tblLayout w:type="fixed"/>
          <w:tblLook w:val="04A0"/>
        </w:tblPrEx>
        <w:trPr>
          <w:trHeight w:val="824"/>
        </w:trPr>
        <w:tc>
          <w:tcPr>
            <w:tcW w:w="1985" w:type="dxa"/>
            <w:vMerge w:val="restart"/>
            <w:shd w:val="clear" w:color="auto" w:fill="F2F2F2" w:themeFill="background1" w:themeFillShade="F2"/>
          </w:tcPr>
          <w:p w:rsidR="00D94C4A" w:rsidRPr="00D94C4A" w:rsidP="00D94C4A" w14:paraId="7DDD897D" w14:textId="1CF20FE1">
            <w:pPr>
              <w:jc w:val="left"/>
              <w:rPr>
                <w:rFonts w:ascii="Calibri" w:eastAsia="Calibri" w:hAnsi="Calibri" w:cs="Calibri"/>
                <w:b/>
                <w:bCs/>
                <w:noProof/>
                <w:lang w:val="en-US" w:eastAsia="en-GB"/>
              </w:rPr>
            </w:pPr>
            <w:r w:rsidRPr="00536F4C">
              <w:rPr>
                <w:noProof/>
                <w:lang w:val="fr-FR" w:eastAsia="zh-CN"/>
              </w:rPr>
              <w:drawing>
                <wp:anchor distT="0" distB="0" distL="114300" distR="114300" simplePos="0" relativeHeight="251703296" behindDoc="0" locked="0" layoutInCell="1" allowOverlap="1">
                  <wp:simplePos x="0" y="0"/>
                  <wp:positionH relativeFrom="column">
                    <wp:posOffset>1195441</wp:posOffset>
                  </wp:positionH>
                  <wp:positionV relativeFrom="paragraph">
                    <wp:posOffset>1467485</wp:posOffset>
                  </wp:positionV>
                  <wp:extent cx="483235" cy="46482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tretch>
                            <a:fillRect/>
                          </a:stretch>
                        </pic:blipFill>
                        <pic:spPr>
                          <a:xfrm>
                            <a:off x="0" y="0"/>
                            <a:ext cx="483235" cy="464820"/>
                          </a:xfrm>
                          <a:prstGeom prst="rect">
                            <a:avLst/>
                          </a:prstGeom>
                          <a:noFill/>
                          <a:ln w="6350">
                            <a:noFill/>
                          </a:ln>
                          <a:effectLst/>
                        </pic:spPr>
                      </pic:pic>
                    </a:graphicData>
                  </a:graphic>
                </wp:anchor>
              </w:drawing>
            </w:r>
            <w:r>
              <w:rPr>
                <w:noProof/>
                <w:lang w:val="fr-FR" w:eastAsia="zh-CN"/>
              </w:rPr>
              <w:drawing>
                <wp:inline distT="0" distB="0" distL="0" distR="0">
                  <wp:extent cx="431321" cy="407359"/>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29"/>
                          <a:stretch>
                            <a:fillRect/>
                          </a:stretch>
                        </pic:blipFill>
                        <pic:spPr>
                          <a:xfrm>
                            <a:off x="0" y="0"/>
                            <a:ext cx="445080" cy="420353"/>
                          </a:xfrm>
                          <a:prstGeom prst="rect">
                            <a:avLst/>
                          </a:prstGeom>
                        </pic:spPr>
                      </pic:pic>
                    </a:graphicData>
                  </a:graphic>
                </wp:inline>
              </w:drawing>
            </w:r>
            <w:r w:rsidRPr="00D94C4A">
              <w:rPr>
                <w:lang w:val="en-US"/>
              </w:rPr>
              <w:t xml:space="preserve">are sustainable investments with an environmental objective that </w:t>
            </w:r>
            <w:r w:rsidRPr="00D94C4A">
              <w:rPr>
                <w:b/>
                <w:bCs/>
                <w:lang w:val="en-US"/>
              </w:rPr>
              <w:t xml:space="preserve">do not take into account the criteria </w:t>
            </w:r>
            <w:r w:rsidRPr="00D94C4A">
              <w:rPr>
                <w:lang w:val="en-US"/>
              </w:rPr>
              <w:t>for environmentally sustainable economic activities under the EU Taxonomy.</w:t>
            </w:r>
          </w:p>
        </w:tc>
        <w:tc>
          <w:tcPr>
            <w:tcW w:w="284" w:type="dxa"/>
          </w:tcPr>
          <w:p w:rsidR="00D94C4A" w:rsidRPr="00536F4C" w:rsidP="007D1F61" w14:paraId="36F08004" w14:textId="77777777">
            <w:pPr>
              <w:rPr>
                <w:lang w:val="en-GB"/>
              </w:rPr>
            </w:pPr>
          </w:p>
        </w:tc>
        <w:tc>
          <w:tcPr>
            <w:tcW w:w="8935" w:type="dxa"/>
          </w:tcPr>
          <w:p w:rsidR="00D94C4A" w:rsidRPr="00536F4C" w:rsidP="007D1F61" w14:paraId="436BD9D1" w14:textId="5128131A">
            <w:pPr>
              <w:ind w:left="463"/>
              <w:rPr>
                <w:i/>
                <w:color w:val="C00000"/>
                <w:sz w:val="18"/>
                <w:lang w:val="en-GB"/>
              </w:rPr>
            </w:pPr>
            <w:r w:rsidRPr="00536F4C">
              <w:rPr>
                <w:rFonts w:ascii="Calibri" w:eastAsia="Calibri" w:hAnsi="Calibri" w:cs="Calibri"/>
                <w:b/>
                <w:bCs/>
                <w:spacing w:val="-6"/>
                <w:position w:val="1"/>
                <w:sz w:val="24"/>
                <w:lang w:val="en-GB"/>
              </w:rPr>
              <w:t>What is the minimum share of sustainable investments with an environmental objective that are not aligned with the EU Taxonomy?</w:t>
            </w:r>
          </w:p>
        </w:tc>
      </w:tr>
      <w:tr w14:paraId="60A6F9CA" w14:textId="77777777" w:rsidTr="00F17FAC">
        <w:tblPrEx>
          <w:tblW w:w="11204" w:type="dxa"/>
          <w:tblInd w:w="-724" w:type="dxa"/>
          <w:tblLayout w:type="fixed"/>
          <w:tblLook w:val="04A0"/>
        </w:tblPrEx>
        <w:trPr>
          <w:trHeight w:val="1587"/>
        </w:trPr>
        <w:tc>
          <w:tcPr>
            <w:tcW w:w="1985" w:type="dxa"/>
            <w:vMerge/>
          </w:tcPr>
          <w:p w:rsidR="00D94C4A" w:rsidRPr="00536F4C" w:rsidP="007D1F61" w14:paraId="2AAF1580" w14:textId="34D28098">
            <w:pPr>
              <w:rPr>
                <w:rFonts w:ascii="Calibri" w:eastAsia="Calibri" w:hAnsi="Calibri" w:cs="Calibri"/>
                <w:b/>
                <w:bCs/>
                <w:noProof/>
                <w:lang w:val="en-GB" w:eastAsia="en-GB"/>
              </w:rPr>
            </w:pPr>
          </w:p>
        </w:tc>
        <w:tc>
          <w:tcPr>
            <w:tcW w:w="284" w:type="dxa"/>
          </w:tcPr>
          <w:p w:rsidR="00D94C4A" w:rsidRPr="00536F4C" w:rsidP="007D1F61" w14:paraId="19D88AC5" w14:textId="77777777">
            <w:pPr>
              <w:rPr>
                <w:lang w:val="en-GB"/>
              </w:rPr>
            </w:pPr>
          </w:p>
        </w:tc>
        <w:tc>
          <w:tcPr>
            <w:tcW w:w="8935" w:type="dxa"/>
          </w:tcPr>
          <w:p w:rsidR="00D94C4A" w:rsidP="007D1F61" w14:paraId="40CE5F54" w14:textId="77777777">
            <w:pPr>
              <w:ind w:left="463"/>
              <w:rPr>
                <w:rFonts w:asciiTheme="minorHAnsi" w:hAnsiTheme="minorHAnsi" w:cstheme="minorHAnsi"/>
                <w:noProof/>
                <w:sz w:val="22"/>
                <w:szCs w:val="22"/>
                <w:lang w:val="en-GB"/>
              </w:rPr>
            </w:pPr>
            <w:r>
              <w:rPr>
                <w:rFonts w:asciiTheme="minorHAnsi" w:hAnsiTheme="minorHAnsi" w:cstheme="minorHAnsi"/>
                <w:noProof/>
                <w:sz w:val="22"/>
                <w:szCs w:val="22"/>
                <w:lang w:val="en-GB"/>
              </w:rPr>
              <w:t>The Sub-Fund will have a minimum commitment of 1% of Sustainable Investments with an environmental objective as indicated in this Annex with no commitment on their alignment with the EU Taxonomy.</w:t>
            </w:r>
          </w:p>
          <w:p w:rsidR="00D04CC4" w:rsidRPr="004459B6" w:rsidP="007D1F61" w14:paraId="2350750B" w14:textId="61E8F365">
            <w:pPr>
              <w:ind w:left="463"/>
              <w:rPr>
                <w:rFonts w:asciiTheme="minorHAnsi" w:hAnsiTheme="minorHAnsi" w:cstheme="minorHAnsi"/>
                <w:noProof/>
                <w:sz w:val="22"/>
                <w:szCs w:val="22"/>
                <w:lang w:val="en-GB"/>
              </w:rPr>
            </w:pPr>
          </w:p>
        </w:tc>
      </w:tr>
      <w:tr w14:paraId="6ABFB936" w14:textId="77777777" w:rsidTr="00F17FAC">
        <w:tblPrEx>
          <w:tblW w:w="11204" w:type="dxa"/>
          <w:tblInd w:w="-724" w:type="dxa"/>
          <w:tblLayout w:type="fixed"/>
          <w:tblLook w:val="04A0"/>
        </w:tblPrEx>
        <w:trPr>
          <w:trHeight w:val="680"/>
        </w:trPr>
        <w:tc>
          <w:tcPr>
            <w:tcW w:w="1985" w:type="dxa"/>
            <w:vMerge/>
          </w:tcPr>
          <w:p w:rsidR="00D94C4A" w:rsidRPr="00536F4C" w:rsidP="007D1F61" w14:paraId="60B30E2F" w14:textId="77777777">
            <w:pPr>
              <w:rPr>
                <w:rFonts w:ascii="Calibri" w:eastAsia="Calibri" w:hAnsi="Calibri" w:cs="Calibri"/>
                <w:b/>
                <w:bCs/>
                <w:noProof/>
                <w:lang w:val="en-GB" w:eastAsia="en-GB"/>
              </w:rPr>
            </w:pPr>
          </w:p>
        </w:tc>
        <w:tc>
          <w:tcPr>
            <w:tcW w:w="284" w:type="dxa"/>
          </w:tcPr>
          <w:p w:rsidR="00D94C4A" w:rsidRPr="00536F4C" w:rsidP="007D1F61" w14:paraId="50341E21" w14:textId="77777777">
            <w:pPr>
              <w:rPr>
                <w:lang w:val="en-GB"/>
              </w:rPr>
            </w:pPr>
          </w:p>
        </w:tc>
        <w:tc>
          <w:tcPr>
            <w:tcW w:w="8935" w:type="dxa"/>
          </w:tcPr>
          <w:p w:rsidR="00D94C4A" w:rsidRPr="00536F4C" w:rsidP="007D1F61" w14:paraId="7A74B7E5" w14:textId="37784B6B">
            <w:pPr>
              <w:ind w:left="463"/>
              <w:rPr>
                <w:rFonts w:ascii="Calibri" w:eastAsia="Calibri" w:hAnsi="Calibri" w:cs="Calibri"/>
                <w:b/>
                <w:bCs/>
                <w:spacing w:val="-6"/>
                <w:position w:val="1"/>
                <w:sz w:val="24"/>
                <w:lang w:val="en-GB"/>
              </w:rPr>
            </w:pPr>
            <w:r w:rsidRPr="00536F4C">
              <w:rPr>
                <w:rFonts w:ascii="Calibri" w:eastAsia="Calibri" w:hAnsi="Calibri" w:cs="Calibri"/>
                <w:b/>
                <w:bCs/>
                <w:spacing w:val="-6"/>
                <w:position w:val="1"/>
                <w:sz w:val="24"/>
                <w:lang w:val="en-GB"/>
              </w:rPr>
              <w:t>What is the minimum share of socially sustainable investments?</w:t>
            </w:r>
            <w:r w:rsidRPr="00536F4C">
              <w:rPr>
                <w:i/>
                <w:color w:val="C00000"/>
                <w:sz w:val="18"/>
                <w:lang w:val="en-GB"/>
              </w:rPr>
              <w:t xml:space="preserve"> </w:t>
            </w:r>
          </w:p>
        </w:tc>
      </w:tr>
      <w:tr w14:paraId="19F340BD" w14:textId="77777777" w:rsidTr="00D319F5">
        <w:tblPrEx>
          <w:tblW w:w="11204" w:type="dxa"/>
          <w:tblInd w:w="-724" w:type="dxa"/>
          <w:tblLayout w:type="fixed"/>
          <w:tblLook w:val="04A0"/>
        </w:tblPrEx>
        <w:trPr>
          <w:trHeight w:val="1023"/>
        </w:trPr>
        <w:tc>
          <w:tcPr>
            <w:tcW w:w="1985" w:type="dxa"/>
            <w:vMerge/>
          </w:tcPr>
          <w:p w:rsidR="00D94C4A" w:rsidRPr="00536F4C" w:rsidP="007D1F61" w14:paraId="0BBBC1F9" w14:textId="77777777">
            <w:pPr>
              <w:rPr>
                <w:rFonts w:ascii="Calibri" w:eastAsia="Calibri" w:hAnsi="Calibri" w:cs="Calibri"/>
                <w:b/>
                <w:bCs/>
                <w:noProof/>
                <w:lang w:val="en-GB" w:eastAsia="en-GB"/>
              </w:rPr>
            </w:pPr>
          </w:p>
        </w:tc>
        <w:tc>
          <w:tcPr>
            <w:tcW w:w="284" w:type="dxa"/>
          </w:tcPr>
          <w:p w:rsidR="00D94C4A" w:rsidRPr="00536F4C" w:rsidP="007D1F61" w14:paraId="3D0D29B3" w14:textId="77777777">
            <w:pPr>
              <w:rPr>
                <w:lang w:val="en-GB"/>
              </w:rPr>
            </w:pPr>
          </w:p>
        </w:tc>
        <w:tc>
          <w:tcPr>
            <w:tcW w:w="8935" w:type="dxa"/>
          </w:tcPr>
          <w:p w:rsidR="00D94C4A" w:rsidP="00D94C4A" w14:paraId="5A267017" w14:textId="77777777">
            <w:pPr>
              <w:ind w:left="463"/>
              <w:jc w:val="left"/>
              <w:rPr>
                <w:rFonts w:asciiTheme="minorHAnsi" w:hAnsiTheme="minorHAnsi" w:cstheme="minorHAnsi"/>
                <w:noProof/>
                <w:sz w:val="22"/>
                <w:szCs w:val="22"/>
                <w:lang w:val="en-GB"/>
              </w:rPr>
            </w:pPr>
            <w:r>
              <w:rPr>
                <w:rFonts w:asciiTheme="minorHAnsi" w:hAnsiTheme="minorHAnsi" w:cstheme="minorHAnsi"/>
                <w:noProof/>
                <w:sz w:val="22"/>
                <w:szCs w:val="22"/>
                <w:lang w:val="en-GB"/>
              </w:rPr>
              <w:t>The Sub-Fund has no minimum share of socially sustainable investments.</w:t>
            </w:r>
          </w:p>
          <w:p w:rsidR="00D04CC4" w:rsidRPr="004459B6" w:rsidP="00D94C4A" w14:paraId="3D05935E" w14:textId="482BFA19">
            <w:pPr>
              <w:ind w:left="463"/>
              <w:jc w:val="left"/>
              <w:rPr>
                <w:rFonts w:asciiTheme="minorHAnsi" w:hAnsiTheme="minorHAnsi" w:cstheme="minorHAnsi"/>
                <w:noProof/>
                <w:sz w:val="22"/>
                <w:szCs w:val="22"/>
                <w:lang w:val="en-GB"/>
              </w:rPr>
            </w:pPr>
          </w:p>
        </w:tc>
      </w:tr>
      <w:tr w14:paraId="010EC501" w14:textId="77777777" w:rsidTr="00F17FAC">
        <w:tblPrEx>
          <w:tblW w:w="11204" w:type="dxa"/>
          <w:tblInd w:w="-724" w:type="dxa"/>
          <w:tblLayout w:type="fixed"/>
          <w:tblLook w:val="04A0"/>
        </w:tblPrEx>
        <w:trPr>
          <w:trHeight w:val="624"/>
        </w:trPr>
        <w:tc>
          <w:tcPr>
            <w:tcW w:w="1985" w:type="dxa"/>
          </w:tcPr>
          <w:p w:rsidR="00F37D38" w:rsidRPr="00536F4C" w:rsidP="007D1F61" w14:paraId="1D8441A9" w14:textId="77777777">
            <w:pPr>
              <w:rPr>
                <w:rFonts w:ascii="Calibri" w:eastAsia="Calibri" w:hAnsi="Calibri" w:cs="Calibri"/>
                <w:b/>
                <w:bCs/>
                <w:noProof/>
                <w:lang w:val="en-GB" w:eastAsia="en-GB"/>
              </w:rPr>
            </w:pPr>
          </w:p>
        </w:tc>
        <w:tc>
          <w:tcPr>
            <w:tcW w:w="284" w:type="dxa"/>
          </w:tcPr>
          <w:p w:rsidR="00F37D38" w:rsidRPr="00536F4C" w:rsidP="007D1F61" w14:paraId="75D7AA03" w14:textId="77777777">
            <w:pPr>
              <w:rPr>
                <w:lang w:val="en-GB"/>
              </w:rPr>
            </w:pPr>
          </w:p>
        </w:tc>
        <w:tc>
          <w:tcPr>
            <w:tcW w:w="8935" w:type="dxa"/>
          </w:tcPr>
          <w:p w:rsidR="00F37D38" w:rsidRPr="00536F4C" w:rsidP="007D1F61" w14:paraId="6DA22914" w14:textId="1526817B">
            <w:pPr>
              <w:ind w:left="463"/>
              <w:rPr>
                <w:rFonts w:ascii="Calibri" w:eastAsia="Calibri" w:hAnsi="Calibri" w:cs="Calibri"/>
                <w:b/>
                <w:bCs/>
                <w:spacing w:val="-6"/>
                <w:position w:val="1"/>
                <w:sz w:val="24"/>
                <w:lang w:val="en-GB"/>
              </w:rPr>
            </w:pPr>
            <w:r w:rsidRPr="00536F4C">
              <w:rPr>
                <w:noProof/>
                <w:lang w:val="fr-FR" w:eastAsia="zh-CN"/>
              </w:rPr>
              <w:drawing>
                <wp:anchor distT="0" distB="0" distL="114300" distR="114300" simplePos="0" relativeHeight="251660288" behindDoc="0" locked="0" layoutInCell="1" allowOverlap="1">
                  <wp:simplePos x="0" y="0"/>
                  <wp:positionH relativeFrom="column">
                    <wp:posOffset>-252730</wp:posOffset>
                  </wp:positionH>
                  <wp:positionV relativeFrom="paragraph">
                    <wp:posOffset>5080</wp:posOffset>
                  </wp:positionV>
                  <wp:extent cx="502378" cy="453773"/>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Lst>
                          </a:blip>
                          <a:stretch>
                            <a:fillRect/>
                          </a:stretch>
                        </pic:blipFill>
                        <pic:spPr>
                          <a:xfrm>
                            <a:off x="0" y="0"/>
                            <a:ext cx="502378" cy="453773"/>
                          </a:xfrm>
                          <a:prstGeom prst="rect">
                            <a:avLst/>
                          </a:prstGeom>
                        </pic:spPr>
                      </pic:pic>
                    </a:graphicData>
                  </a:graphic>
                </wp:anchor>
              </w:drawing>
            </w:r>
            <w:r w:rsidRPr="00536F4C">
              <w:rPr>
                <w:rFonts w:ascii="Calibri" w:eastAsia="Calibri" w:hAnsi="Calibri" w:cs="Calibri"/>
                <w:b/>
                <w:bCs/>
                <w:spacing w:val="-6"/>
                <w:position w:val="1"/>
                <w:sz w:val="24"/>
                <w:lang w:val="en-GB"/>
              </w:rPr>
              <w:t>What investments are included under “#2 Other”, what is their purpose and are there any minimum environmental or social safeguards?</w:t>
            </w:r>
          </w:p>
        </w:tc>
      </w:tr>
      <w:tr w14:paraId="029B57CA" w14:textId="77777777" w:rsidTr="00D319F5">
        <w:tblPrEx>
          <w:tblW w:w="11204" w:type="dxa"/>
          <w:tblInd w:w="-724" w:type="dxa"/>
          <w:tblLayout w:type="fixed"/>
          <w:tblLook w:val="04A0"/>
        </w:tblPrEx>
        <w:trPr>
          <w:trHeight w:val="1373"/>
        </w:trPr>
        <w:tc>
          <w:tcPr>
            <w:tcW w:w="1985" w:type="dxa"/>
          </w:tcPr>
          <w:p w:rsidR="00F37D38" w:rsidRPr="00536F4C" w:rsidP="007D1F61" w14:paraId="2B8D520B" w14:textId="77777777">
            <w:pPr>
              <w:rPr>
                <w:rFonts w:ascii="Calibri" w:eastAsia="Calibri" w:hAnsi="Calibri" w:cs="Calibri"/>
                <w:b/>
                <w:bCs/>
                <w:noProof/>
                <w:lang w:val="en-GB" w:eastAsia="en-GB"/>
              </w:rPr>
            </w:pPr>
          </w:p>
        </w:tc>
        <w:tc>
          <w:tcPr>
            <w:tcW w:w="284" w:type="dxa"/>
          </w:tcPr>
          <w:p w:rsidR="00F37D38" w:rsidRPr="00536F4C" w:rsidP="007D1F61" w14:paraId="67912904" w14:textId="77777777">
            <w:pPr>
              <w:rPr>
                <w:lang w:val="en-GB"/>
              </w:rPr>
            </w:pPr>
          </w:p>
        </w:tc>
        <w:tc>
          <w:tcPr>
            <w:tcW w:w="8935" w:type="dxa"/>
          </w:tcPr>
          <w:p w:rsidR="00F37D38" w:rsidP="007D1F61" w14:paraId="4EA3D7C7" w14:textId="77777777">
            <w:pPr>
              <w:ind w:left="463"/>
              <w:rPr>
                <w:rFonts w:asciiTheme="minorHAnsi" w:hAnsiTheme="minorHAnsi" w:cstheme="minorHAnsi"/>
                <w:noProof/>
                <w:sz w:val="22"/>
                <w:szCs w:val="22"/>
                <w:lang w:val="en-GB"/>
              </w:rPr>
            </w:pPr>
          </w:p>
          <w:p w:rsidR="004B650E" w:rsidP="007D1F61" w14:paraId="15FD46A1" w14:textId="77777777">
            <w:pPr>
              <w:ind w:left="463"/>
              <w:rPr>
                <w:rFonts w:asciiTheme="minorHAnsi" w:hAnsiTheme="minorHAnsi" w:cstheme="minorHAnsi"/>
                <w:noProof/>
                <w:sz w:val="22"/>
                <w:szCs w:val="22"/>
                <w:lang w:val="en-GB"/>
              </w:rPr>
            </w:pPr>
            <w:r>
              <w:rPr>
                <w:rFonts w:asciiTheme="minorHAnsi" w:hAnsiTheme="minorHAnsi" w:cstheme="minorHAnsi"/>
                <w:noProof/>
                <w:sz w:val="22"/>
                <w:szCs w:val="22"/>
                <w:lang w:val="en-GB"/>
              </w:rPr>
              <w:t>Included in “#2 Other” are cash and instruments for the purpose of liquidity and portfolio risk management. It may also include ESG unrated securities for which data needed for the measurement of attainment of environmental or social characteristics is not available.</w:t>
            </w:r>
          </w:p>
          <w:p w:rsidR="00D04CC4" w:rsidRPr="004459B6" w:rsidP="007D1F61" w14:paraId="46DF610F" w14:textId="0FA7087C">
            <w:pPr>
              <w:ind w:left="463"/>
              <w:rPr>
                <w:rFonts w:asciiTheme="minorHAnsi" w:hAnsiTheme="minorHAnsi" w:cstheme="minorHAnsi"/>
                <w:noProof/>
                <w:sz w:val="22"/>
                <w:szCs w:val="22"/>
                <w:lang w:val="en-GB"/>
              </w:rPr>
            </w:pPr>
          </w:p>
        </w:tc>
      </w:tr>
      <w:tr w14:paraId="38E7DB55" w14:textId="77777777" w:rsidTr="0020797E">
        <w:tblPrEx>
          <w:tblW w:w="11204" w:type="dxa"/>
          <w:tblInd w:w="-724" w:type="dxa"/>
          <w:tblLayout w:type="fixed"/>
          <w:tblLook w:val="04A0"/>
        </w:tblPrEx>
        <w:trPr>
          <w:trHeight w:val="1304"/>
        </w:trPr>
        <w:tc>
          <w:tcPr>
            <w:tcW w:w="1985" w:type="dxa"/>
          </w:tcPr>
          <w:p w:rsidR="00F37D38" w:rsidRPr="00536F4C" w:rsidP="007D1F61" w14:paraId="4F20693F" w14:textId="77777777">
            <w:pPr>
              <w:rPr>
                <w:rFonts w:ascii="Calibri" w:eastAsia="Calibri" w:hAnsi="Calibri" w:cs="Calibri"/>
                <w:b/>
                <w:bCs/>
                <w:noProof/>
                <w:lang w:val="en-GB" w:eastAsia="en-GB"/>
              </w:rPr>
            </w:pPr>
          </w:p>
        </w:tc>
        <w:tc>
          <w:tcPr>
            <w:tcW w:w="284" w:type="dxa"/>
          </w:tcPr>
          <w:p w:rsidR="00F37D38" w:rsidRPr="00536F4C" w:rsidP="007D1F61" w14:paraId="2972860E" w14:textId="6772CD56">
            <w:pPr>
              <w:rPr>
                <w:lang w:val="en-GB"/>
              </w:rPr>
            </w:pPr>
          </w:p>
        </w:tc>
        <w:tc>
          <w:tcPr>
            <w:tcW w:w="8935" w:type="dxa"/>
          </w:tcPr>
          <w:p w:rsidR="00F37D38" w:rsidRPr="00536F4C" w:rsidP="007D1F61" w14:paraId="298D9DB4" w14:textId="3BCD28A9">
            <w:pPr>
              <w:ind w:left="604"/>
              <w:rPr>
                <w:rFonts w:ascii="Calibri" w:eastAsia="Calibri" w:hAnsi="Calibri" w:cs="Calibri"/>
                <w:b/>
                <w:bCs/>
                <w:spacing w:val="-6"/>
                <w:position w:val="1"/>
                <w:sz w:val="24"/>
                <w:lang w:val="en-GB"/>
              </w:rPr>
            </w:pPr>
            <w:r w:rsidRPr="00536F4C">
              <w:rPr>
                <w:noProof/>
                <w:lang w:val="fr-FR" w:eastAsia="zh-CN"/>
              </w:rPr>
              <w:drawing>
                <wp:anchor distT="0" distB="0" distL="114300" distR="114300" simplePos="0" relativeHeight="251661312" behindDoc="0" locked="0" layoutInCell="1" allowOverlap="1">
                  <wp:simplePos x="0" y="0"/>
                  <wp:positionH relativeFrom="column">
                    <wp:posOffset>-1517650</wp:posOffset>
                  </wp:positionH>
                  <wp:positionV relativeFrom="paragraph">
                    <wp:posOffset>14605</wp:posOffset>
                  </wp:positionV>
                  <wp:extent cx="1804681" cy="77898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04681" cy="778984"/>
                          </a:xfrm>
                          <a:prstGeom prst="rect">
                            <a:avLst/>
                          </a:prstGeom>
                        </pic:spPr>
                      </pic:pic>
                    </a:graphicData>
                  </a:graphic>
                </wp:anchor>
              </w:drawing>
            </w:r>
            <w:r w:rsidRPr="00536F4C">
              <w:rPr>
                <w:rFonts w:ascii="Calibri" w:eastAsia="Calibri" w:hAnsi="Calibri" w:cs="Calibri"/>
                <w:b/>
                <w:bCs/>
                <w:spacing w:val="-6"/>
                <w:position w:val="1"/>
                <w:sz w:val="24"/>
                <w:lang w:val="en-GB"/>
              </w:rPr>
              <w:t xml:space="preserve">Is a specific index designated as a reference benchmark to determine whether this financial product is aligned with the environmental and/or social characteristics that it promotes? </w:t>
            </w:r>
          </w:p>
        </w:tc>
      </w:tr>
      <w:tr w14:paraId="1DAF582C" w14:textId="77777777" w:rsidTr="0020797E">
        <w:tblPrEx>
          <w:tblW w:w="11204" w:type="dxa"/>
          <w:tblInd w:w="-724" w:type="dxa"/>
          <w:tblLayout w:type="fixed"/>
          <w:tblLook w:val="04A0"/>
        </w:tblPrEx>
        <w:trPr>
          <w:trHeight w:val="340"/>
        </w:trPr>
        <w:tc>
          <w:tcPr>
            <w:tcW w:w="1985" w:type="dxa"/>
            <w:vMerge w:val="restart"/>
            <w:shd w:val="clear" w:color="auto" w:fill="F2F2F2" w:themeFill="background1" w:themeFillShade="F2"/>
          </w:tcPr>
          <w:p w:rsidR="0020797E" w:rsidRPr="0020797E" w:rsidP="0020797E" w14:paraId="3C90BF70" w14:textId="76E5FBC5">
            <w:pPr>
              <w:jc w:val="left"/>
              <w:rPr>
                <w:rFonts w:ascii="Calibri" w:eastAsia="Calibri" w:hAnsi="Calibri" w:cs="Calibri"/>
                <w:b/>
                <w:bCs/>
                <w:noProof/>
                <w:lang w:val="en-US" w:eastAsia="en-GB"/>
              </w:rPr>
            </w:pPr>
            <w:r w:rsidRPr="0020797E">
              <w:rPr>
                <w:b/>
                <w:bCs/>
                <w:lang w:val="en-US"/>
              </w:rPr>
              <w:t xml:space="preserve">Reference benchmarks </w:t>
            </w:r>
            <w:r w:rsidRPr="0020797E">
              <w:rPr>
                <w:lang w:val="en-US"/>
              </w:rPr>
              <w:t>are indexes to measure whether the financial product attains the environmental or social characteristics that they promote.</w:t>
            </w:r>
          </w:p>
        </w:tc>
        <w:tc>
          <w:tcPr>
            <w:tcW w:w="284" w:type="dxa"/>
          </w:tcPr>
          <w:p w:rsidR="0020797E" w:rsidRPr="00536F4C" w:rsidP="007D1F61" w14:paraId="180D08C0" w14:textId="77777777">
            <w:pPr>
              <w:rPr>
                <w:lang w:val="en-GB"/>
              </w:rPr>
            </w:pPr>
          </w:p>
        </w:tc>
        <w:tc>
          <w:tcPr>
            <w:tcW w:w="8935" w:type="dxa"/>
          </w:tcPr>
          <w:p w:rsidR="0020797E" w:rsidP="00775CB7" w14:paraId="6B9099D4" w14:textId="77777777">
            <w:pPr>
              <w:ind w:left="463"/>
              <w:rPr>
                <w:rFonts w:asciiTheme="minorHAnsi" w:hAnsiTheme="minorHAnsi" w:cstheme="minorHAnsi"/>
                <w:noProof/>
                <w:sz w:val="22"/>
                <w:szCs w:val="22"/>
                <w:lang w:val="en-GB"/>
              </w:rPr>
            </w:pPr>
            <w:r w:rsidRPr="00775CB7">
              <w:rPr>
                <w:rFonts w:asciiTheme="minorHAnsi" w:hAnsiTheme="minorHAnsi" w:cstheme="minorHAnsi"/>
                <w:noProof/>
                <w:sz w:val="22"/>
                <w:szCs w:val="22"/>
                <w:lang w:val="en-GB"/>
              </w:rPr>
              <w:t>Yes, the Index has been designated as a reference benchmark to determine whether the Sub-Fund is aligned with the environmental and/or social characteristics that it promotes.</w:t>
            </w:r>
          </w:p>
          <w:p w:rsidR="00D04CC4" w:rsidRPr="00775CB7" w:rsidP="00775CB7" w14:paraId="47157827" w14:textId="308B5034">
            <w:pPr>
              <w:ind w:left="463"/>
              <w:rPr>
                <w:rFonts w:asciiTheme="minorHAnsi" w:hAnsiTheme="minorHAnsi" w:cstheme="minorHAnsi"/>
                <w:noProof/>
                <w:sz w:val="22"/>
                <w:szCs w:val="22"/>
                <w:lang w:val="en-GB"/>
              </w:rPr>
            </w:pPr>
          </w:p>
        </w:tc>
      </w:tr>
      <w:tr w14:paraId="5B2AC385" w14:textId="77777777" w:rsidTr="0020797E">
        <w:tblPrEx>
          <w:tblW w:w="11204" w:type="dxa"/>
          <w:tblInd w:w="-724" w:type="dxa"/>
          <w:tblLayout w:type="fixed"/>
          <w:tblLook w:val="04A0"/>
        </w:tblPrEx>
        <w:trPr>
          <w:trHeight w:val="1077"/>
        </w:trPr>
        <w:tc>
          <w:tcPr>
            <w:tcW w:w="1985" w:type="dxa"/>
            <w:vMerge/>
            <w:shd w:val="clear" w:color="auto" w:fill="F2F2F2" w:themeFill="background1" w:themeFillShade="F2"/>
          </w:tcPr>
          <w:p w:rsidR="0020797E" w:rsidRPr="00536F4C" w:rsidP="007D1F61" w14:paraId="4F9E8796" w14:textId="569E63AF">
            <w:pPr>
              <w:rPr>
                <w:rFonts w:ascii="Calibri" w:eastAsia="Calibri" w:hAnsi="Calibri" w:cs="Calibri"/>
                <w:b/>
                <w:bCs/>
                <w:noProof/>
                <w:lang w:val="en-GB" w:eastAsia="en-GB"/>
              </w:rPr>
            </w:pPr>
          </w:p>
        </w:tc>
        <w:tc>
          <w:tcPr>
            <w:tcW w:w="284" w:type="dxa"/>
          </w:tcPr>
          <w:p w:rsidR="0020797E" w:rsidRPr="00536F4C" w:rsidP="007D1F61" w14:paraId="0FC464E1" w14:textId="7833A4C7">
            <w:pPr>
              <w:rPr>
                <w:lang w:val="en-GB"/>
              </w:rPr>
            </w:pPr>
          </w:p>
        </w:tc>
        <w:tc>
          <w:tcPr>
            <w:tcW w:w="8935" w:type="dxa"/>
          </w:tcPr>
          <w:p w:rsidR="0020797E" w:rsidRPr="009F47B6" w:rsidP="007D1F61" w14:paraId="7C5EC7FA" w14:textId="112F66D8">
            <w:pPr>
              <w:pStyle w:val="ListParagraph"/>
              <w:numPr>
                <w:ilvl w:val="0"/>
                <w:numId w:val="4"/>
              </w:numPr>
              <w:spacing w:after="0"/>
              <w:ind w:left="321" w:hanging="284"/>
              <w:jc w:val="both"/>
              <w:rPr>
                <w:b/>
                <w:i/>
                <w:iCs/>
                <w:lang w:val="en-GB"/>
              </w:rPr>
            </w:pPr>
            <w:r w:rsidRPr="009F47B6">
              <w:rPr>
                <w:b/>
                <w:i/>
                <w:iCs/>
                <w:lang w:val="en-GB"/>
              </w:rPr>
              <w:t>How is the reference benchmark continuously aligned with each of the environmental or social characteristics promoted by the financial product?</w:t>
            </w:r>
          </w:p>
        </w:tc>
      </w:tr>
      <w:tr w14:paraId="5AEC84B7" w14:textId="77777777" w:rsidTr="0020797E">
        <w:tblPrEx>
          <w:tblW w:w="11204" w:type="dxa"/>
          <w:tblInd w:w="-724" w:type="dxa"/>
          <w:tblLayout w:type="fixed"/>
          <w:tblLook w:val="04A0"/>
        </w:tblPrEx>
        <w:trPr>
          <w:trHeight w:val="1134"/>
        </w:trPr>
        <w:tc>
          <w:tcPr>
            <w:tcW w:w="1985" w:type="dxa"/>
            <w:vMerge/>
            <w:shd w:val="clear" w:color="auto" w:fill="F2F2F2" w:themeFill="background1" w:themeFillShade="F2"/>
          </w:tcPr>
          <w:p w:rsidR="0020797E" w:rsidRPr="00536F4C" w:rsidP="007D1F61" w14:paraId="1DEA4342" w14:textId="77777777">
            <w:pPr>
              <w:rPr>
                <w:rFonts w:ascii="Calibri" w:eastAsia="Calibri" w:hAnsi="Calibri" w:cs="Calibri"/>
                <w:b/>
                <w:bCs/>
                <w:noProof/>
                <w:lang w:val="en-GB" w:eastAsia="en-GB"/>
              </w:rPr>
            </w:pPr>
          </w:p>
        </w:tc>
        <w:tc>
          <w:tcPr>
            <w:tcW w:w="284" w:type="dxa"/>
          </w:tcPr>
          <w:p w:rsidR="0020797E" w:rsidRPr="00536F4C" w:rsidP="007D1F61" w14:paraId="3F22EDEE" w14:textId="77777777">
            <w:pPr>
              <w:rPr>
                <w:lang w:val="en-GB"/>
              </w:rPr>
            </w:pPr>
          </w:p>
        </w:tc>
        <w:tc>
          <w:tcPr>
            <w:tcW w:w="8935" w:type="dxa"/>
          </w:tcPr>
          <w:p w:rsidR="0020797E" w:rsidP="00775CB7" w14:paraId="79A70406" w14:textId="77777777">
            <w:pPr>
              <w:pStyle w:val="ListParagraph"/>
              <w:tabs>
                <w:tab w:val="num" w:pos="1560"/>
              </w:tabs>
              <w:spacing w:after="0"/>
              <w:ind w:left="321"/>
              <w:jc w:val="both"/>
              <w:rPr>
                <w:noProof/>
                <w:sz w:val="20"/>
                <w:lang w:val="en-GB" w:eastAsia="fr-LU"/>
              </w:rPr>
            </w:pPr>
            <w:r w:rsidRPr="00775CB7">
              <w:rPr>
                <w:noProof/>
                <w:sz w:val="20"/>
                <w:lang w:val="en-GB" w:eastAsia="fr-LU"/>
              </w:rPr>
              <w:t>According to applicable regulations to index sponsors (including BMR), index sponsors should define appropriate controls/diligence when defining and/or operating index methodologies of regulated indexes.</w:t>
            </w:r>
          </w:p>
          <w:p w:rsidR="00D04CC4" w:rsidRPr="00025C08" w:rsidP="00775CB7" w14:paraId="3A0E8AB8" w14:textId="256A4A09">
            <w:pPr>
              <w:pStyle w:val="ListParagraph"/>
              <w:tabs>
                <w:tab w:val="num" w:pos="1560"/>
              </w:tabs>
              <w:spacing w:after="0"/>
              <w:ind w:left="321"/>
              <w:jc w:val="both"/>
              <w:rPr>
                <w:rFonts w:ascii="Calibri" w:eastAsia="Calibri" w:hAnsi="Calibri" w:cs="Calibri"/>
                <w:iCs/>
                <w:spacing w:val="-6"/>
                <w:position w:val="1"/>
                <w:lang w:val="en-GB"/>
              </w:rPr>
            </w:pPr>
          </w:p>
        </w:tc>
      </w:tr>
      <w:tr w14:paraId="32075C31" w14:textId="77777777" w:rsidTr="0020797E">
        <w:tblPrEx>
          <w:tblW w:w="11204" w:type="dxa"/>
          <w:tblInd w:w="-724" w:type="dxa"/>
          <w:tblLayout w:type="fixed"/>
          <w:tblLook w:val="04A0"/>
        </w:tblPrEx>
        <w:trPr>
          <w:trHeight w:val="1002"/>
        </w:trPr>
        <w:tc>
          <w:tcPr>
            <w:tcW w:w="1985" w:type="dxa"/>
            <w:shd w:val="clear" w:color="auto" w:fill="FFFFFF" w:themeFill="background1"/>
          </w:tcPr>
          <w:p w:rsidR="00B97479" w:rsidRPr="00536F4C" w:rsidP="007D1F61" w14:paraId="2CAD5092" w14:textId="77777777">
            <w:pPr>
              <w:rPr>
                <w:rFonts w:ascii="Calibri" w:eastAsia="Calibri" w:hAnsi="Calibri" w:cs="Calibri"/>
                <w:b/>
                <w:bCs/>
                <w:noProof/>
                <w:lang w:val="en-GB" w:eastAsia="en-GB"/>
              </w:rPr>
            </w:pPr>
          </w:p>
        </w:tc>
        <w:tc>
          <w:tcPr>
            <w:tcW w:w="284" w:type="dxa"/>
            <w:vMerge w:val="restart"/>
          </w:tcPr>
          <w:p w:rsidR="00B97479" w:rsidRPr="00536F4C" w:rsidP="007D1F61" w14:paraId="0FF8AE55" w14:textId="77777777">
            <w:pPr>
              <w:rPr>
                <w:lang w:val="en-GB"/>
              </w:rPr>
            </w:pPr>
          </w:p>
        </w:tc>
        <w:tc>
          <w:tcPr>
            <w:tcW w:w="8935" w:type="dxa"/>
          </w:tcPr>
          <w:p w:rsidR="00B97479" w:rsidRPr="009F47B6" w:rsidP="007D1F61" w14:paraId="5244BCAF" w14:textId="45BEDA71">
            <w:pPr>
              <w:pStyle w:val="ListParagraph"/>
              <w:numPr>
                <w:ilvl w:val="0"/>
                <w:numId w:val="4"/>
              </w:numPr>
              <w:spacing w:after="0"/>
              <w:ind w:left="321" w:hanging="284"/>
              <w:jc w:val="both"/>
              <w:rPr>
                <w:rFonts w:ascii="Calibri" w:eastAsia="Calibri" w:hAnsi="Calibri" w:cs="Calibri"/>
                <w:b/>
                <w:bCs/>
                <w:i/>
                <w:iCs/>
                <w:spacing w:val="-6"/>
                <w:position w:val="1"/>
                <w:sz w:val="24"/>
                <w:lang w:val="en-GB"/>
              </w:rPr>
            </w:pPr>
            <w:r w:rsidRPr="009F47B6">
              <w:rPr>
                <w:b/>
                <w:i/>
                <w:iCs/>
                <w:lang w:val="en-GB"/>
              </w:rPr>
              <w:t>How is the alignment of the investment strategy with the methodology of the index ensured on a continuous basis?</w:t>
            </w:r>
          </w:p>
        </w:tc>
      </w:tr>
      <w:tr w14:paraId="524CBFF5" w14:textId="77777777" w:rsidTr="00D319F5">
        <w:tblPrEx>
          <w:tblW w:w="11204" w:type="dxa"/>
          <w:tblInd w:w="-724" w:type="dxa"/>
          <w:tblLayout w:type="fixed"/>
          <w:tblLook w:val="04A0"/>
        </w:tblPrEx>
        <w:trPr>
          <w:trHeight w:val="448"/>
        </w:trPr>
        <w:tc>
          <w:tcPr>
            <w:tcW w:w="1985" w:type="dxa"/>
            <w:shd w:val="clear" w:color="auto" w:fill="FFFFFF" w:themeFill="background1"/>
          </w:tcPr>
          <w:p w:rsidR="00B97479" w:rsidRPr="00536F4C" w:rsidP="007D1F61" w14:paraId="4D5C60D6" w14:textId="77777777">
            <w:pPr>
              <w:rPr>
                <w:rFonts w:ascii="Calibri" w:eastAsia="Calibri" w:hAnsi="Calibri" w:cs="Calibri"/>
                <w:b/>
                <w:bCs/>
                <w:noProof/>
                <w:lang w:val="en-GB" w:eastAsia="en-GB"/>
              </w:rPr>
            </w:pPr>
          </w:p>
        </w:tc>
        <w:tc>
          <w:tcPr>
            <w:tcW w:w="284" w:type="dxa"/>
            <w:vMerge/>
          </w:tcPr>
          <w:p w:rsidR="00B97479" w:rsidRPr="00536F4C" w:rsidP="007D1F61" w14:paraId="6BFBD2A0" w14:textId="77777777">
            <w:pPr>
              <w:rPr>
                <w:lang w:val="en-GB"/>
              </w:rPr>
            </w:pPr>
          </w:p>
        </w:tc>
        <w:tc>
          <w:tcPr>
            <w:tcW w:w="8935" w:type="dxa"/>
          </w:tcPr>
          <w:p w:rsidR="00B97479" w:rsidP="00775CB7" w14:paraId="49C77CF0" w14:textId="77777777">
            <w:pPr>
              <w:pStyle w:val="ListParagraph"/>
              <w:tabs>
                <w:tab w:val="num" w:pos="1560"/>
              </w:tabs>
              <w:spacing w:after="0"/>
              <w:ind w:left="321"/>
              <w:jc w:val="both"/>
              <w:rPr>
                <w:noProof/>
                <w:sz w:val="20"/>
                <w:lang w:val="en-GB" w:eastAsia="fr-LU"/>
              </w:rPr>
            </w:pPr>
            <w:r w:rsidRPr="00775CB7">
              <w:rPr>
                <w:noProof/>
                <w:sz w:val="20"/>
                <w:lang w:val="en-GB" w:eastAsia="fr-LU"/>
              </w:rPr>
              <w:t>The investment objective of the Sub-Fund is to track both the upward and downward evolution of the Index, while minimising the difference between the return of the Sub-Fund and the return of the Index.</w:t>
            </w:r>
          </w:p>
          <w:p w:rsidR="00D04CC4" w:rsidRPr="00025C08" w:rsidP="00775CB7" w14:paraId="36CC2FA6" w14:textId="17524255">
            <w:pPr>
              <w:pStyle w:val="ListParagraph"/>
              <w:tabs>
                <w:tab w:val="num" w:pos="1560"/>
              </w:tabs>
              <w:spacing w:after="0"/>
              <w:ind w:left="321"/>
              <w:jc w:val="both"/>
              <w:rPr>
                <w:rFonts w:cstheme="minorHAnsi"/>
                <w:bCs/>
                <w:lang w:val="en-GB"/>
              </w:rPr>
            </w:pPr>
          </w:p>
        </w:tc>
      </w:tr>
      <w:tr w14:paraId="7703BD56" w14:textId="77777777" w:rsidTr="0020797E">
        <w:tblPrEx>
          <w:tblW w:w="11204" w:type="dxa"/>
          <w:tblInd w:w="-724" w:type="dxa"/>
          <w:tblLayout w:type="fixed"/>
          <w:tblLook w:val="04A0"/>
        </w:tblPrEx>
        <w:trPr>
          <w:trHeight w:val="624"/>
        </w:trPr>
        <w:tc>
          <w:tcPr>
            <w:tcW w:w="1985" w:type="dxa"/>
          </w:tcPr>
          <w:p w:rsidR="00B97479" w:rsidRPr="00536F4C" w:rsidP="007D1F61" w14:paraId="3AB22A09" w14:textId="77777777">
            <w:pPr>
              <w:rPr>
                <w:rFonts w:ascii="Calibri" w:eastAsia="Calibri" w:hAnsi="Calibri" w:cs="Calibri"/>
                <w:b/>
                <w:bCs/>
                <w:noProof/>
                <w:lang w:val="en-GB" w:eastAsia="en-GB"/>
              </w:rPr>
            </w:pPr>
          </w:p>
        </w:tc>
        <w:tc>
          <w:tcPr>
            <w:tcW w:w="284" w:type="dxa"/>
          </w:tcPr>
          <w:p w:rsidR="00B97479" w:rsidRPr="00536F4C" w:rsidP="007D1F61" w14:paraId="60036D3D" w14:textId="77777777">
            <w:pPr>
              <w:rPr>
                <w:lang w:val="en-GB"/>
              </w:rPr>
            </w:pPr>
          </w:p>
        </w:tc>
        <w:tc>
          <w:tcPr>
            <w:tcW w:w="8935" w:type="dxa"/>
          </w:tcPr>
          <w:p w:rsidR="00127165" w:rsidRPr="00127165" w:rsidP="007D1F61" w14:paraId="7E82B26B" w14:textId="666773F0">
            <w:pPr>
              <w:pStyle w:val="ListParagraph"/>
              <w:numPr>
                <w:ilvl w:val="0"/>
                <w:numId w:val="4"/>
              </w:numPr>
              <w:spacing w:after="0"/>
              <w:ind w:left="321" w:hanging="284"/>
              <w:jc w:val="both"/>
              <w:rPr>
                <w:b/>
                <w:i/>
                <w:iCs/>
                <w:lang w:val="en-GB"/>
              </w:rPr>
            </w:pPr>
            <w:r w:rsidRPr="00A3031A">
              <w:rPr>
                <w:b/>
                <w:i/>
                <w:iCs/>
                <w:lang w:val="en-GB"/>
              </w:rPr>
              <w:t>How does the designated index differ from a relevant broad market index?</w:t>
            </w:r>
          </w:p>
        </w:tc>
      </w:tr>
      <w:tr w14:paraId="3F2882CB" w14:textId="77777777" w:rsidTr="00F17FAC">
        <w:tblPrEx>
          <w:tblW w:w="11204" w:type="dxa"/>
          <w:tblInd w:w="-724" w:type="dxa"/>
          <w:tblLayout w:type="fixed"/>
          <w:tblLook w:val="04A0"/>
        </w:tblPrEx>
        <w:trPr>
          <w:trHeight w:val="624"/>
        </w:trPr>
        <w:tc>
          <w:tcPr>
            <w:tcW w:w="1985" w:type="dxa"/>
          </w:tcPr>
          <w:p w:rsidR="00D85DAD" w:rsidRPr="00536F4C" w:rsidP="007D1F61" w14:paraId="7BDCD712" w14:textId="77777777">
            <w:pPr>
              <w:rPr>
                <w:rFonts w:ascii="Calibri" w:eastAsia="Calibri" w:hAnsi="Calibri" w:cs="Calibri"/>
                <w:b/>
                <w:bCs/>
                <w:noProof/>
                <w:lang w:val="en-GB" w:eastAsia="en-GB"/>
              </w:rPr>
            </w:pPr>
          </w:p>
        </w:tc>
        <w:tc>
          <w:tcPr>
            <w:tcW w:w="284" w:type="dxa"/>
          </w:tcPr>
          <w:p w:rsidR="00D85DAD" w:rsidRPr="00536F4C" w:rsidP="007D1F61" w14:paraId="6233BEC1" w14:textId="77777777">
            <w:pPr>
              <w:rPr>
                <w:lang w:val="en-GB"/>
              </w:rPr>
            </w:pPr>
          </w:p>
        </w:tc>
        <w:tc>
          <w:tcPr>
            <w:tcW w:w="8935" w:type="dxa"/>
          </w:tcPr>
          <w:p w:rsidR="00B03C23" w:rsidRPr="00D319F5" w:rsidP="00D319F5" w14:paraId="54C8D700" w14:textId="3744B0ED">
            <w:pPr>
              <w:pStyle w:val="ListParagraph"/>
              <w:tabs>
                <w:tab w:val="num" w:pos="1560"/>
              </w:tabs>
              <w:spacing w:after="0"/>
              <w:ind w:left="321"/>
              <w:jc w:val="both"/>
              <w:rPr>
                <w:noProof/>
                <w:sz w:val="20"/>
                <w:lang w:val="en-GB" w:eastAsia="fr-LU"/>
              </w:rPr>
            </w:pPr>
            <w:r w:rsidRPr="00775CB7">
              <w:rPr>
                <w:noProof/>
                <w:sz w:val="20"/>
                <w:lang w:val="en-GB" w:eastAsia="fr-LU"/>
              </w:rPr>
              <w:t>STOXX EUROPE 600 ESG+ index is an equity index based on Stoxx Europe 600 - representing the 600 leading securities of European developed countries (the "Parent Index") that applies a set of sector exclusion and ESG performance screen for security eligibility and targets a total selection of 80% of the number of securities from the Parent Index.</w:t>
            </w:r>
          </w:p>
          <w:p w:rsidR="00B03C23" w:rsidRPr="00D85DAD" w:rsidP="007D1F61" w14:paraId="7629DDA2" w14:textId="70E32329">
            <w:pPr>
              <w:pStyle w:val="ListParagraph"/>
              <w:spacing w:after="0"/>
              <w:ind w:left="321"/>
              <w:jc w:val="both"/>
              <w:rPr>
                <w:bCs/>
                <w:lang w:val="en-GB"/>
              </w:rPr>
            </w:pPr>
          </w:p>
        </w:tc>
      </w:tr>
      <w:tr w14:paraId="439BCDD8" w14:textId="77777777" w:rsidTr="00F17FAC">
        <w:tblPrEx>
          <w:tblW w:w="11204" w:type="dxa"/>
          <w:tblInd w:w="-724" w:type="dxa"/>
          <w:tblLayout w:type="fixed"/>
          <w:tblLook w:val="04A0"/>
        </w:tblPrEx>
        <w:trPr>
          <w:trHeight w:val="624"/>
        </w:trPr>
        <w:tc>
          <w:tcPr>
            <w:tcW w:w="1985" w:type="dxa"/>
          </w:tcPr>
          <w:p w:rsidR="00127165" w:rsidRPr="00536F4C" w:rsidP="007D1F61" w14:paraId="66034208" w14:textId="77777777">
            <w:pPr>
              <w:rPr>
                <w:rFonts w:ascii="Calibri" w:eastAsia="Calibri" w:hAnsi="Calibri" w:cs="Calibri"/>
                <w:b/>
                <w:bCs/>
                <w:noProof/>
                <w:lang w:val="en-GB" w:eastAsia="en-GB"/>
              </w:rPr>
            </w:pPr>
          </w:p>
        </w:tc>
        <w:tc>
          <w:tcPr>
            <w:tcW w:w="284" w:type="dxa"/>
          </w:tcPr>
          <w:p w:rsidR="00127165" w:rsidRPr="00536F4C" w:rsidP="007D1F61" w14:paraId="26091057" w14:textId="77777777">
            <w:pPr>
              <w:rPr>
                <w:lang w:val="en-GB"/>
              </w:rPr>
            </w:pPr>
          </w:p>
        </w:tc>
        <w:tc>
          <w:tcPr>
            <w:tcW w:w="8935" w:type="dxa"/>
          </w:tcPr>
          <w:p w:rsidR="00127165" w:rsidRPr="009F47B6" w:rsidP="007D1F61" w14:paraId="44C48E81" w14:textId="679D59B0">
            <w:pPr>
              <w:pStyle w:val="ListParagraph"/>
              <w:numPr>
                <w:ilvl w:val="0"/>
                <w:numId w:val="4"/>
              </w:numPr>
              <w:spacing w:after="0"/>
              <w:ind w:left="321" w:hanging="284"/>
              <w:jc w:val="both"/>
              <w:rPr>
                <w:b/>
                <w:i/>
                <w:iCs/>
                <w:lang w:val="en-GB"/>
              </w:rPr>
            </w:pPr>
            <w:r>
              <w:rPr>
                <w:b/>
                <w:bCs/>
                <w:i/>
                <w:iCs/>
              </w:rPr>
              <w:t>Where can the methodology used for the calculation of the designated index be found?</w:t>
            </w:r>
          </w:p>
        </w:tc>
      </w:tr>
      <w:tr w14:paraId="31E2B17B" w14:textId="77777777" w:rsidTr="00F17FAC">
        <w:tblPrEx>
          <w:tblW w:w="11204" w:type="dxa"/>
          <w:tblInd w:w="-724" w:type="dxa"/>
          <w:tblLayout w:type="fixed"/>
          <w:tblLook w:val="04A0"/>
        </w:tblPrEx>
        <w:trPr>
          <w:trHeight w:val="1004"/>
        </w:trPr>
        <w:tc>
          <w:tcPr>
            <w:tcW w:w="1985" w:type="dxa"/>
          </w:tcPr>
          <w:p w:rsidR="00B97479" w:rsidRPr="00536F4C" w:rsidP="007D1F61" w14:paraId="759FD1A7" w14:textId="77777777">
            <w:pPr>
              <w:rPr>
                <w:rFonts w:ascii="Calibri" w:eastAsia="Calibri" w:hAnsi="Calibri" w:cs="Calibri"/>
                <w:b/>
                <w:bCs/>
                <w:noProof/>
                <w:lang w:val="en-GB" w:eastAsia="en-GB"/>
              </w:rPr>
            </w:pPr>
          </w:p>
        </w:tc>
        <w:tc>
          <w:tcPr>
            <w:tcW w:w="284" w:type="dxa"/>
          </w:tcPr>
          <w:p w:rsidR="00B97479" w:rsidRPr="00536F4C" w:rsidP="007D1F61" w14:paraId="0F3ADB72" w14:textId="77777777">
            <w:pPr>
              <w:rPr>
                <w:lang w:val="en-GB"/>
              </w:rPr>
            </w:pPr>
          </w:p>
        </w:tc>
        <w:tc>
          <w:tcPr>
            <w:tcW w:w="8935" w:type="dxa"/>
          </w:tcPr>
          <w:p w:rsidR="00B97479" w:rsidP="00775CB7" w14:paraId="7207D234" w14:textId="77777777">
            <w:pPr>
              <w:pStyle w:val="ListParagraph"/>
              <w:tabs>
                <w:tab w:val="num" w:pos="1560"/>
              </w:tabs>
              <w:spacing w:after="0"/>
              <w:ind w:left="321"/>
              <w:jc w:val="both"/>
              <w:rPr>
                <w:noProof/>
                <w:sz w:val="20"/>
                <w:lang w:val="en-GB" w:eastAsia="fr-LU"/>
              </w:rPr>
            </w:pPr>
            <w:r w:rsidRPr="00775CB7">
              <w:rPr>
                <w:noProof/>
                <w:sz w:val="20"/>
                <w:lang w:val="en-GB" w:eastAsia="fr-LU"/>
              </w:rPr>
              <w:t>Additional information on the Index can be found at https://www.stoxx.com/rulebooks</w:t>
            </w:r>
          </w:p>
          <w:p w:rsidR="00D04CC4" w:rsidRPr="00025C08" w:rsidP="00775CB7" w14:paraId="60016DEB" w14:textId="0510D6A9">
            <w:pPr>
              <w:pStyle w:val="ListParagraph"/>
              <w:tabs>
                <w:tab w:val="num" w:pos="1560"/>
              </w:tabs>
              <w:spacing w:after="0"/>
              <w:ind w:left="321"/>
              <w:jc w:val="both"/>
              <w:rPr>
                <w:rFonts w:cstheme="minorHAnsi"/>
                <w:bCs/>
                <w:lang w:val="en-GB"/>
              </w:rPr>
            </w:pPr>
          </w:p>
        </w:tc>
      </w:tr>
      <w:tr w14:paraId="15FF5ED8" w14:textId="77777777" w:rsidTr="00F17FAC">
        <w:tblPrEx>
          <w:tblW w:w="11204" w:type="dxa"/>
          <w:tblInd w:w="-724" w:type="dxa"/>
          <w:tblLayout w:type="fixed"/>
          <w:tblLook w:val="04A0"/>
        </w:tblPrEx>
        <w:trPr>
          <w:trHeight w:val="1357"/>
        </w:trPr>
        <w:tc>
          <w:tcPr>
            <w:tcW w:w="1985" w:type="dxa"/>
          </w:tcPr>
          <w:p w:rsidR="00B97479" w:rsidRPr="00536F4C" w:rsidP="007D1F61" w14:paraId="018E9995" w14:textId="11AF922C">
            <w:pPr>
              <w:rPr>
                <w:rFonts w:ascii="Calibri" w:eastAsia="Calibri" w:hAnsi="Calibri" w:cs="Calibri"/>
                <w:b/>
                <w:bCs/>
                <w:noProof/>
                <w:lang w:val="en-GB" w:eastAsia="en-GB"/>
              </w:rPr>
            </w:pPr>
          </w:p>
        </w:tc>
        <w:tc>
          <w:tcPr>
            <w:tcW w:w="284" w:type="dxa"/>
          </w:tcPr>
          <w:p w:rsidR="00B97479" w:rsidRPr="00536F4C" w:rsidP="007D1F61" w14:paraId="56A68AEC" w14:textId="17875038">
            <w:pPr>
              <w:rPr>
                <w:lang w:val="en-GB"/>
              </w:rPr>
            </w:pPr>
            <w:r w:rsidRPr="00536F4C">
              <w:rPr>
                <w:noProof/>
                <w:lang w:val="fr-FR" w:eastAsia="zh-CN"/>
              </w:rPr>
              <w:drawing>
                <wp:anchor distT="0" distB="0" distL="114300" distR="114300" simplePos="0" relativeHeight="251662336" behindDoc="0" locked="0" layoutInCell="1" allowOverlap="1">
                  <wp:simplePos x="0" y="0"/>
                  <wp:positionH relativeFrom="column">
                    <wp:posOffset>-1337310</wp:posOffset>
                  </wp:positionH>
                  <wp:positionV relativeFrom="paragraph">
                    <wp:posOffset>-191135</wp:posOffset>
                  </wp:positionV>
                  <wp:extent cx="1717400" cy="86296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rcRect l="3128"/>
                          <a:stretch>
                            <a:fillRect/>
                          </a:stretch>
                        </pic:blipFill>
                        <pic:spPr bwMode="auto">
                          <a:xfrm>
                            <a:off x="0" y="0"/>
                            <a:ext cx="1717400" cy="86296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p>
        </w:tc>
        <w:tc>
          <w:tcPr>
            <w:tcW w:w="8935" w:type="dxa"/>
          </w:tcPr>
          <w:p w:rsidR="00B97479" w:rsidRPr="00F05851" w:rsidP="007D1F61" w14:paraId="72028959" w14:textId="77777777">
            <w:pPr>
              <w:spacing w:line="276" w:lineRule="auto"/>
              <w:ind w:firstLine="321"/>
              <w:rPr>
                <w:rFonts w:asciiTheme="minorHAnsi" w:hAnsiTheme="minorHAnsi" w:cs="Arial"/>
                <w:b/>
                <w:sz w:val="24"/>
                <w:szCs w:val="24"/>
                <w:lang w:val="en-GB"/>
              </w:rPr>
            </w:pPr>
            <w:r w:rsidRPr="00F05851">
              <w:rPr>
                <w:rFonts w:asciiTheme="minorHAnsi" w:hAnsiTheme="minorHAnsi" w:cs="Arial"/>
                <w:b/>
                <w:sz w:val="24"/>
                <w:szCs w:val="24"/>
                <w:lang w:val="en-GB"/>
              </w:rPr>
              <w:t>Where can I find more product specific information online?</w:t>
            </w:r>
          </w:p>
          <w:p w:rsidR="00B97479" w:rsidRPr="00536F4C" w:rsidP="007D1F61" w14:paraId="5C8FD1FE" w14:textId="77777777">
            <w:pPr>
              <w:ind w:left="321" w:firstLine="142"/>
              <w:rPr>
                <w:b/>
                <w:lang w:val="en-GB"/>
              </w:rPr>
            </w:pPr>
          </w:p>
          <w:p w:rsidR="00B97479" w:rsidRPr="00536F4C" w:rsidP="007D1F61" w14:paraId="4E2C5681" w14:textId="5167CC1A">
            <w:pPr>
              <w:ind w:left="321"/>
              <w:rPr>
                <w:b/>
                <w:lang w:val="en-GB"/>
              </w:rPr>
            </w:pPr>
            <w:r w:rsidRPr="00F05851">
              <w:rPr>
                <w:rFonts w:asciiTheme="minorHAnsi" w:hAnsiTheme="minorHAnsi"/>
                <w:b/>
                <w:sz w:val="22"/>
                <w:szCs w:val="22"/>
                <w:lang w:val="en-GB"/>
              </w:rPr>
              <w:t>More product-specific information can be found on the website:</w:t>
            </w:r>
            <w:r w:rsidRPr="00536F4C">
              <w:rPr>
                <w:lang w:val="en-GB"/>
              </w:rPr>
              <w:t xml:space="preserve"> </w:t>
            </w:r>
            <w:r w:rsidR="004B650E">
              <w:rPr>
                <w:lang w:val="en-GB"/>
              </w:rPr>
              <w:t>Additional information on the Sub-Fund can be found at www.amundietf.com.</w:t>
            </w:r>
          </w:p>
        </w:tc>
      </w:tr>
    </w:tbl>
    <w:p w:rsidR="00916581" w:rsidP="007D1F61" w14:paraId="18C6D289" w14:textId="77777777">
      <w:pPr>
        <w:rPr>
          <w:rFonts w:eastAsia="Times New Roman" w:cs="Times New Roman"/>
          <w:bCs/>
          <w:lang w:val="en-GB" w:eastAsia="fr-BE"/>
        </w:rPr>
        <w:sectPr w:rsidSect="00F17FAC">
          <w:pgSz w:w="11900" w:h="16840" w:code="9"/>
          <w:pgMar w:top="709" w:right="720" w:bottom="142" w:left="720" w:header="709" w:footer="709" w:gutter="0"/>
          <w:cols w:space="708"/>
          <w:titlePg/>
          <w:docGrid w:linePitch="360"/>
        </w:sectPr>
      </w:pPr>
    </w:p>
    <w:p w:rsidR="00BF7CBE" w:rsidRPr="00536F4C" w:rsidP="007D1F61" w14:paraId="1E994651" w14:textId="5697CE01">
      <w:pPr>
        <w:rPr>
          <w:rFonts w:eastAsia="Times New Roman" w:cs="Times New Roman"/>
          <w:bCs/>
          <w:lang w:val="en-GB" w:eastAsia="fr-BE"/>
        </w:rPr>
      </w:pPr>
    </w:p>
    <w:sectPr w:rsidSect="00193F49">
      <w:type w:val="continuous"/>
      <w:pgSz w:w="11900" w:h="16840" w:code="9"/>
      <w:pgMar w:top="709" w:right="720" w:bottom="142" w:left="72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gBBACYATQAgAEIAdQBsAGwAZQB0ACAATABlAHYAZQBsACAAMQA=&#10;" wne:acdName="acd0" wne:fciIndexBasedOn="0065"/>
    <wne:acd wne:argValue="AgBBACYATQAgAEIAdQBsAGwAZQB0ACAATABlAHYAZQBsACAAMgA=&#10;" wne:acdName="acd1" wne:fciIndexBasedOn="0065"/>
    <wne:acd wne:argValue="AgBBACYATQAgAEIAdQBsAGwAZQB0ACAATABlAHYAZQBsACAAMwA=&#10;" wne:acdName="acd2" wne:fciIndexBasedOn="0065"/>
    <wne:acd wne:argValue="AgBBACYATQAgAEIAdQBsAGwAZQB0ACAATABlAHYAZQBsACAANAA=&#10;" wne:acdName="acd3" wne:fciIndexBasedOn="0065"/>
    <wne:acd wne:argValue="AgBBACYATQAgAEIAdQBsAGwAZQB0ACAATABlAHYAZQBsACAANQA=&#10;"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08F" w14:paraId="6AF1543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08F" w14:paraId="06C3CE9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47D2D" w:rsidP="000C17F0" w14:paraId="7B7097BB" w14:textId="4D783829">
    <w:pPr>
      <w:pStyle w:val="Footer"/>
      <w:tabs>
        <w:tab w:val="clear" w:pos="4680"/>
        <w:tab w:val="left" w:pos="5910"/>
        <w:tab w:val="clear" w:pos="9360"/>
      </w:tabs>
    </w:pP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08F" w14:paraId="573C61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08F" w14:paraId="409BF27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408F" w14:paraId="33EF43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E6A78"/>
    <w:multiLevelType w:val="hybridMultilevel"/>
    <w:tmpl w:val="A404DC44"/>
    <w:lvl w:ilvl="0">
      <w:start w:val="2021"/>
      <w:numFmt w:val="bullet"/>
      <w:lvlText w:val="-"/>
      <w:lvlJc w:val="left"/>
      <w:pPr>
        <w:ind w:left="720" w:hanging="360"/>
      </w:pPr>
      <w:rPr>
        <w:rFonts w:ascii="Calibri" w:hAnsi="Calibri" w:eastAsiaTheme="minorHAnsi" w:cstheme="minorBidi" w:hint="default"/>
        <w:color w:val="BFBFBF" w:themeColor="background1" w:themeShade="BF"/>
        <w:sz w:val="44"/>
      </w:rPr>
    </w:lvl>
    <w:lvl w:ilvl="1">
      <w:start w:val="2021"/>
      <w:numFmt w:val="bullet"/>
      <w:lvlText w:val="-"/>
      <w:lvlJc w:val="left"/>
      <w:pPr>
        <w:ind w:left="1440" w:hanging="360"/>
      </w:pPr>
      <w:rPr>
        <w:rFonts w:ascii="Calibri" w:hAnsi="Calibri" w:eastAsiaTheme="minorHAnsi" w:cstheme="minorBidi" w:hint="default"/>
        <w:color w:val="BFBFBF" w:themeColor="background1" w:themeShade="BF"/>
        <w:sz w:val="4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0722DC"/>
    <w:multiLevelType w:val="hybridMultilevel"/>
    <w:tmpl w:val="B1D6FECA"/>
    <w:lvl w:ilvl="0">
      <w:start w:val="2021"/>
      <w:numFmt w:val="bullet"/>
      <w:lvlText w:val="-"/>
      <w:lvlJc w:val="left"/>
      <w:pPr>
        <w:ind w:left="720" w:hanging="360"/>
      </w:pPr>
      <w:rPr>
        <w:rFonts w:ascii="Calibri" w:hAnsi="Calibri" w:eastAsiaTheme="minorHAnsi" w:cstheme="minorBidi" w:hint="default"/>
        <w:color w:val="BFBFBF" w:themeColor="background1" w:themeShade="BF"/>
        <w:sz w:val="44"/>
      </w:rPr>
    </w:lvl>
    <w:lvl w:ilvl="1">
      <w:start w:val="2021"/>
      <w:numFmt w:val="bullet"/>
      <w:lvlText w:val="-"/>
      <w:lvlJc w:val="left"/>
      <w:pPr>
        <w:ind w:left="1440" w:hanging="360"/>
      </w:pPr>
      <w:rPr>
        <w:rFonts w:ascii="Calibri" w:hAnsi="Calibri" w:eastAsiaTheme="minorHAnsi" w:cstheme="minorBidi" w:hint="default"/>
        <w:color w:val="BFBFBF" w:themeColor="background1" w:themeShade="BF"/>
        <w:sz w:val="4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F34EDB"/>
    <w:multiLevelType w:val="multilevel"/>
    <w:tmpl w:val="F376B184"/>
    <w:name w:val="A&amp;M Bullet"/>
    <w:lvl w:ilvl="0">
      <w:start w:val="1"/>
      <w:numFmt w:val="bullet"/>
      <w:pStyle w:val="AMBulletLevel1"/>
      <w:lvlText w:val="●"/>
      <w:lvlJc w:val="left"/>
      <w:pPr>
        <w:ind w:left="851" w:hanging="851"/>
      </w:pPr>
      <w:rPr>
        <w:rFonts w:ascii="Calibri" w:hAnsi="Calibri" w:hint="default"/>
        <w:b w:val="0"/>
        <w:bCs w:val="0"/>
        <w:i w:val="0"/>
        <w:iCs w:val="0"/>
        <w:caps w:val="0"/>
        <w:smallCaps w:val="0"/>
        <w:strike w:val="0"/>
        <w:dstrike w:val="0"/>
        <w:noProof w:val="0"/>
        <w:vanish w:val="0"/>
        <w:color w:val="auto"/>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bullet"/>
      <w:pStyle w:val="AMBulletLevel2"/>
      <w:lvlText w:val="●"/>
      <w:lvlJc w:val="left"/>
      <w:pPr>
        <w:ind w:left="1729" w:hanging="878"/>
      </w:pPr>
      <w:rPr>
        <w:rFonts w:ascii="Calibri" w:hAnsi="Calibri" w:hint="default"/>
        <w:color w:val="auto"/>
      </w:rPr>
    </w:lvl>
    <w:lvl w:ilvl="2">
      <w:start w:val="1"/>
      <w:numFmt w:val="bullet"/>
      <w:pStyle w:val="AMBulletLevel3"/>
      <w:lvlText w:val="●"/>
      <w:lvlJc w:val="left"/>
      <w:pPr>
        <w:ind w:left="2495" w:hanging="766"/>
      </w:pPr>
      <w:rPr>
        <w:rFonts w:ascii="Calibri" w:hAnsi="Calibri" w:hint="default"/>
        <w:b w:val="0"/>
        <w:i w:val="0"/>
        <w:caps w:val="0"/>
        <w:strike w:val="0"/>
        <w:dstrike w:val="0"/>
        <w:vanish w:val="0"/>
        <w:color w:val="auto"/>
        <w:sz w:val="20"/>
        <w:u w:val="none"/>
        <w:vertAlign w:val="baseline"/>
      </w:rPr>
    </w:lvl>
    <w:lvl w:ilvl="3">
      <w:start w:val="1"/>
      <w:numFmt w:val="bullet"/>
      <w:pStyle w:val="AMBulletLevel4"/>
      <w:lvlText w:val="●"/>
      <w:lvlJc w:val="left"/>
      <w:pPr>
        <w:ind w:left="3345" w:hanging="850"/>
      </w:pPr>
      <w:rPr>
        <w:rFonts w:ascii="Calibri" w:hAnsi="Calibri" w:hint="default"/>
        <w:color w:val="auto"/>
      </w:rPr>
    </w:lvl>
    <w:lvl w:ilvl="4">
      <w:start w:val="1"/>
      <w:numFmt w:val="bullet"/>
      <w:pStyle w:val="AMBulletLevel5"/>
      <w:lvlText w:val="●"/>
      <w:lvlJc w:val="left"/>
      <w:pPr>
        <w:ind w:left="4196" w:hanging="851"/>
      </w:pPr>
      <w:rPr>
        <w:rFonts w:ascii="Calibri" w:hAnsi="Calibri" w:hint="default"/>
        <w:color w:val="auto"/>
      </w:rPr>
    </w:lvl>
    <w:lvl w:ilvl="5">
      <w:start w:val="1"/>
      <w:numFmt w:val="none"/>
      <w:lvlRestart w:val="0"/>
      <w:suff w:val="nothing"/>
      <w:lvlJc w:val="left"/>
      <w:pPr>
        <w:ind w:left="0" w:firstLine="0"/>
      </w:pPr>
      <w:rPr>
        <w:rFonts w:hint="default"/>
      </w:rPr>
    </w:lvl>
    <w:lvl w:ilvl="6">
      <w:start w:val="1"/>
      <w:numFmt w:val="none"/>
      <w:lvlRestart w:val="0"/>
      <w:suff w:val="nothing"/>
      <w:lvlJc w:val="left"/>
      <w:pPr>
        <w:ind w:left="0" w:firstLine="0"/>
      </w:pPr>
      <w:rPr>
        <w:rFonts w:hint="default"/>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3">
    <w:nsid w:val="17FF4E5D"/>
    <w:multiLevelType w:val="hybridMultilevel"/>
    <w:tmpl w:val="1E6A3F80"/>
    <w:lvl w:ilvl="0">
      <w:start w:val="2021"/>
      <w:numFmt w:val="bullet"/>
      <w:lvlText w:val="-"/>
      <w:lvlJc w:val="left"/>
      <w:pPr>
        <w:ind w:left="720" w:hanging="360"/>
      </w:pPr>
      <w:rPr>
        <w:rFonts w:ascii="Calibri" w:hAnsi="Calibri" w:eastAsiaTheme="minorHAnsi" w:cstheme="minorBidi" w:hint="default"/>
        <w:color w:val="BFBFBF" w:themeColor="background1" w:themeShade="BF"/>
        <w:sz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A974DDD"/>
    <w:multiLevelType w:val="hybridMultilevel"/>
    <w:tmpl w:val="6472DF3A"/>
    <w:lvl w:ilvl="0">
      <w:start w:val="1"/>
      <w:numFmt w:val="bullet"/>
      <w:lvlText w:val=""/>
      <w:lvlJc w:val="left"/>
      <w:pPr>
        <w:tabs>
          <w:tab w:val="num" w:pos="927"/>
        </w:tabs>
        <w:ind w:left="927" w:hanging="360"/>
      </w:pPr>
      <w:rPr>
        <w:rFonts w:ascii="Symbol" w:hAnsi="Symbol" w:hint="default"/>
        <w:color w:val="BFBFBF" w:themeColor="background1" w:themeShade="BF"/>
        <w:sz w:val="44"/>
      </w:rPr>
    </w:lvl>
    <w:lvl w:ilvl="1">
      <w:start w:val="1"/>
      <w:numFmt w:val="bullet"/>
      <w:lvlText w:val=""/>
      <w:lvlJc w:val="left"/>
      <w:pPr>
        <w:tabs>
          <w:tab w:val="num" w:pos="360"/>
        </w:tabs>
        <w:ind w:left="360" w:hanging="360"/>
      </w:pPr>
      <w:rPr>
        <w:rFonts w:ascii="Symbol" w:hAnsi="Symbol" w:hint="default"/>
        <w:color w:val="BFBFBF" w:themeColor="background1" w:themeShade="BF"/>
        <w:sz w:val="44"/>
      </w:rPr>
    </w:lvl>
    <w:lvl w:ilvl="2">
      <w:start w:val="1"/>
      <w:numFmt w:val="bullet"/>
      <w:lvlText w:val=""/>
      <w:lvlJc w:val="left"/>
      <w:pPr>
        <w:tabs>
          <w:tab w:val="num" w:pos="2367"/>
        </w:tabs>
        <w:ind w:left="2367" w:hanging="360"/>
      </w:pPr>
      <w:rPr>
        <w:rFonts w:ascii="Symbol" w:hAnsi="Symbol" w:hint="default"/>
      </w:rPr>
    </w:lvl>
    <w:lvl w:ilvl="3">
      <w:start w:val="2021"/>
      <w:numFmt w:val="bullet"/>
      <w:lvlText w:val="-"/>
      <w:lvlJc w:val="left"/>
      <w:pPr>
        <w:ind w:left="785" w:hanging="360"/>
      </w:pPr>
      <w:rPr>
        <w:rFonts w:ascii="Calibri" w:hAnsi="Calibri" w:eastAsiaTheme="minorHAnsi" w:cstheme="minorBidi" w:hint="default"/>
        <w:color w:val="BFBFBF" w:themeColor="background1" w:themeShade="BF"/>
        <w:sz w:val="44"/>
      </w:rPr>
    </w:lvl>
    <w:lvl w:ilvl="4" w:tentative="1">
      <w:start w:val="1"/>
      <w:numFmt w:val="bullet"/>
      <w:lvlText w:val=""/>
      <w:lvlJc w:val="left"/>
      <w:pPr>
        <w:tabs>
          <w:tab w:val="num" w:pos="3807"/>
        </w:tabs>
        <w:ind w:left="3807" w:hanging="360"/>
      </w:pPr>
      <w:rPr>
        <w:rFonts w:ascii="Symbol" w:hAnsi="Symbol" w:hint="default"/>
      </w:rPr>
    </w:lvl>
    <w:lvl w:ilvl="5" w:tentative="1">
      <w:start w:val="1"/>
      <w:numFmt w:val="bullet"/>
      <w:lvlText w:val=""/>
      <w:lvlJc w:val="left"/>
      <w:pPr>
        <w:tabs>
          <w:tab w:val="num" w:pos="4527"/>
        </w:tabs>
        <w:ind w:left="4527" w:hanging="360"/>
      </w:pPr>
      <w:rPr>
        <w:rFonts w:ascii="Symbol" w:hAnsi="Symbol"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
      <w:lvlJc w:val="left"/>
      <w:pPr>
        <w:tabs>
          <w:tab w:val="num" w:pos="5967"/>
        </w:tabs>
        <w:ind w:left="5967" w:hanging="360"/>
      </w:pPr>
      <w:rPr>
        <w:rFonts w:ascii="Symbol" w:hAnsi="Symbol" w:hint="default"/>
      </w:rPr>
    </w:lvl>
    <w:lvl w:ilvl="8" w:tentative="1">
      <w:start w:val="1"/>
      <w:numFmt w:val="bullet"/>
      <w:lvlText w:val=""/>
      <w:lvlJc w:val="left"/>
      <w:pPr>
        <w:tabs>
          <w:tab w:val="num" w:pos="6687"/>
        </w:tabs>
        <w:ind w:left="6687" w:hanging="360"/>
      </w:pPr>
      <w:rPr>
        <w:rFonts w:ascii="Symbol" w:hAnsi="Symbol" w:hint="default"/>
      </w:rPr>
    </w:lvl>
  </w:abstractNum>
  <w:abstractNum w:abstractNumId="5">
    <w:nsid w:val="1EF00B60"/>
    <w:multiLevelType w:val="hybridMultilevel"/>
    <w:tmpl w:val="117C22BC"/>
    <w:lvl w:ilvl="0">
      <w:start w:val="2021"/>
      <w:numFmt w:val="bullet"/>
      <w:lvlText w:val="-"/>
      <w:lvlJc w:val="left"/>
      <w:pPr>
        <w:ind w:left="720" w:hanging="360"/>
      </w:pPr>
      <w:rPr>
        <w:rFonts w:ascii="Calibri" w:hAnsi="Calibri" w:eastAsiaTheme="minorHAnsi" w:cstheme="minorBidi" w:hint="default"/>
        <w:color w:val="BFBFBF" w:themeColor="background1" w:themeShade="BF"/>
        <w:sz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770C8E"/>
    <w:multiLevelType w:val="hybridMultilevel"/>
    <w:tmpl w:val="AA0623B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7">
    <w:nsid w:val="29BA6F00"/>
    <w:multiLevelType w:val="hybridMultilevel"/>
    <w:tmpl w:val="62C6A94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8AB3435"/>
    <w:multiLevelType w:val="hybridMultilevel"/>
    <w:tmpl w:val="0EA88936"/>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7E1B74"/>
    <w:multiLevelType w:val="multilevel"/>
    <w:tmpl w:val="68CE1ED2"/>
    <w:name w:val="A&amp;M Heading"/>
    <w:lvl w:ilvl="0">
      <w:start w:val="1"/>
      <w:numFmt w:val="decimal"/>
      <w:pStyle w:val="AMLevel1"/>
      <w:lvlText w:val="%1."/>
      <w:lvlJc w:val="left"/>
      <w:pPr>
        <w:ind w:left="851" w:hanging="851"/>
      </w:pPr>
      <w:rPr>
        <w:rFonts w:ascii="Arial" w:hAnsi="Arial" w:hint="default"/>
        <w:b w:val="0"/>
        <w:i w:val="0"/>
        <w:sz w:val="20"/>
      </w:rPr>
    </w:lvl>
    <w:lvl w:ilvl="1">
      <w:start w:val="1"/>
      <w:numFmt w:val="decimal"/>
      <w:pStyle w:val="AMLevel2"/>
      <w:lvlText w:val="%1.%2"/>
      <w:lvlJc w:val="left"/>
      <w:pPr>
        <w:ind w:left="851" w:hanging="851"/>
      </w:pPr>
      <w:rPr>
        <w:rFonts w:ascii="Arial" w:hAnsi="Arial" w:hint="default"/>
        <w:b w:val="0"/>
        <w:i w:val="0"/>
        <w:sz w:val="20"/>
      </w:rPr>
    </w:lvl>
    <w:lvl w:ilvl="2">
      <w:start w:val="1"/>
      <w:numFmt w:val="decimal"/>
      <w:pStyle w:val="AMLevel3"/>
      <w:lvlText w:val="%1.%2.%3"/>
      <w:lvlJc w:val="left"/>
      <w:pPr>
        <w:ind w:left="851" w:hanging="851"/>
      </w:pPr>
      <w:rPr>
        <w:rFonts w:ascii="Arial" w:hAnsi="Arial" w:hint="default"/>
        <w:b w:val="0"/>
        <w:i w:val="0"/>
        <w:sz w:val="20"/>
      </w:rPr>
    </w:lvl>
    <w:lvl w:ilvl="3">
      <w:start w:val="1"/>
      <w:numFmt w:val="lowerLetter"/>
      <w:pStyle w:val="AMLevel4"/>
      <w:lvlText w:val="(%4)"/>
      <w:lvlJc w:val="left"/>
      <w:pPr>
        <w:ind w:left="1728" w:hanging="877"/>
      </w:pPr>
      <w:rPr>
        <w:rFonts w:ascii="Arial" w:hAnsi="Arial" w:hint="default"/>
        <w:b w:val="0"/>
        <w:i w:val="0"/>
        <w:sz w:val="20"/>
      </w:rPr>
    </w:lvl>
    <w:lvl w:ilvl="4">
      <w:start w:val="1"/>
      <w:numFmt w:val="lowerRoman"/>
      <w:pStyle w:val="AMLevel5"/>
      <w:lvlText w:val="(%5)"/>
      <w:lvlJc w:val="left"/>
      <w:pPr>
        <w:ind w:left="2495" w:hanging="766"/>
      </w:pPr>
      <w:rPr>
        <w:rFonts w:ascii="Arial" w:hAnsi="Arial" w:hint="default"/>
        <w:b w:val="0"/>
        <w:i w:val="0"/>
        <w:sz w:val="20"/>
      </w:rPr>
    </w:lvl>
    <w:lvl w:ilvl="5">
      <w:start w:val="1"/>
      <w:numFmt w:val="lowerLetter"/>
      <w:pStyle w:val="AMLevel6"/>
      <w:lvlText w:val="%6."/>
      <w:lvlJc w:val="left"/>
      <w:pPr>
        <w:ind w:left="3345" w:hanging="850"/>
      </w:pPr>
      <w:rPr>
        <w:rFonts w:ascii="Arial" w:hAnsi="Arial" w:hint="default"/>
        <w:b w:val="0"/>
        <w:i w:val="0"/>
        <w:sz w:val="20"/>
      </w:rPr>
    </w:lvl>
    <w:lvl w:ilvl="6">
      <w:start w:val="1"/>
      <w:numFmt w:val="lowerRoman"/>
      <w:pStyle w:val="AMLevel7"/>
      <w:lvlText w:val="%7."/>
      <w:lvlJc w:val="left"/>
      <w:pPr>
        <w:ind w:left="4196" w:hanging="851"/>
      </w:pPr>
      <w:rPr>
        <w:rFonts w:ascii="Arial" w:hAnsi="Arial" w:hint="default"/>
        <w:b w:val="0"/>
        <w:i w:val="0"/>
        <w:sz w:val="20"/>
      </w:rPr>
    </w:lvl>
    <w:lvl w:ilvl="7">
      <w:start w:val="1"/>
      <w:numFmt w:val="none"/>
      <w:lvlRestart w:val="0"/>
      <w:suff w:val="nothing"/>
      <w:lvlJc w:val="left"/>
      <w:pPr>
        <w:ind w:left="0" w:firstLine="0"/>
      </w:pPr>
      <w:rPr>
        <w:rFonts w:hint="default"/>
      </w:rPr>
    </w:lvl>
    <w:lvl w:ilvl="8">
      <w:start w:val="1"/>
      <w:numFmt w:val="none"/>
      <w:lvlRestart w:val="0"/>
      <w:suff w:val="nothing"/>
      <w:lvlJc w:val="left"/>
      <w:pPr>
        <w:ind w:left="0" w:firstLine="0"/>
      </w:pPr>
      <w:rPr>
        <w:rFonts w:hint="default"/>
      </w:rPr>
    </w:lvl>
  </w:abstractNum>
  <w:abstractNum w:abstractNumId="10">
    <w:nsid w:val="3C2B7B76"/>
    <w:multiLevelType w:val="hybridMultilevel"/>
    <w:tmpl w:val="9CF4E206"/>
    <w:lvl w:ilvl="0">
      <w:start w:val="2021"/>
      <w:numFmt w:val="bullet"/>
      <w:lvlText w:val="-"/>
      <w:lvlJc w:val="left"/>
      <w:pPr>
        <w:ind w:left="720" w:hanging="360"/>
      </w:pPr>
      <w:rPr>
        <w:rFonts w:ascii="Calibri" w:hAnsi="Calibri" w:eastAsiaTheme="minorHAnsi" w:cstheme="minorBidi" w:hint="default"/>
        <w:color w:val="BFBFBF" w:themeColor="background1" w:themeShade="BF"/>
        <w:sz w:val="44"/>
      </w:rPr>
    </w:lvl>
    <w:lvl w:ilvl="1">
      <w:start w:val="2021"/>
      <w:numFmt w:val="bullet"/>
      <w:lvlText w:val="-"/>
      <w:lvlJc w:val="left"/>
      <w:pPr>
        <w:ind w:left="1440" w:hanging="360"/>
      </w:pPr>
      <w:rPr>
        <w:rFonts w:ascii="Calibri" w:hAnsi="Calibri" w:eastAsiaTheme="minorHAnsi" w:cstheme="minorBidi" w:hint="default"/>
        <w:color w:val="BFBFBF" w:themeColor="background1" w:themeShade="BF"/>
        <w:sz w:val="44"/>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FBA1103"/>
    <w:multiLevelType w:val="hybridMultilevel"/>
    <w:tmpl w:val="ACD012B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FE97C85"/>
    <w:multiLevelType w:val="hybridMultilevel"/>
    <w:tmpl w:val="97E846FA"/>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E71357"/>
    <w:multiLevelType w:val="hybridMultilevel"/>
    <w:tmpl w:val="47AA9D9E"/>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8D3C96"/>
    <w:multiLevelType w:val="hybridMultilevel"/>
    <w:tmpl w:val="1F765720"/>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1744820"/>
    <w:multiLevelType w:val="hybridMultilevel"/>
    <w:tmpl w:val="5F36385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BB113E1"/>
    <w:multiLevelType w:val="hybridMultilevel"/>
    <w:tmpl w:val="8B5CEBA2"/>
    <w:lvl w:ilvl="0">
      <w:start w:val="2021"/>
      <w:numFmt w:val="bullet"/>
      <w:lvlText w:val="-"/>
      <w:lvlJc w:val="left"/>
      <w:pPr>
        <w:ind w:left="720" w:hanging="360"/>
      </w:pPr>
      <w:rPr>
        <w:rFonts w:ascii="Calibri" w:hAnsi="Calibri" w:eastAsiaTheme="minorHAnsi" w:cstheme="minorBidi" w:hint="default"/>
        <w:color w:val="BFBFBF" w:themeColor="background1" w:themeShade="BF"/>
        <w:sz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CA51268"/>
    <w:multiLevelType w:val="hybridMultilevel"/>
    <w:tmpl w:val="866A1E7E"/>
    <w:lvl w:ilvl="0">
      <w:start w:val="2021"/>
      <w:numFmt w:val="bullet"/>
      <w:lvlText w:val="-"/>
      <w:lvlJc w:val="left"/>
      <w:pPr>
        <w:ind w:left="720" w:hanging="360"/>
      </w:pPr>
      <w:rPr>
        <w:rFonts w:ascii="Calibri" w:hAnsi="Calibri" w:eastAsiaTheme="minorHAnsi" w:cstheme="minorBidi" w:hint="default"/>
        <w:color w:val="BFBFBF" w:themeColor="background1" w:themeShade="BF"/>
        <w:sz w:val="4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D37057E"/>
    <w:multiLevelType w:val="hybridMultilevel"/>
    <w:tmpl w:val="E410D61C"/>
    <w:lvl w:ilvl="0">
      <w:start w:val="1"/>
      <w:numFmt w:val="bullet"/>
      <w:lvlText w:val=""/>
      <w:lvlJc w:val="left"/>
      <w:pPr>
        <w:ind w:left="1287" w:hanging="360"/>
      </w:pPr>
      <w:rPr>
        <w:rFonts w:ascii="Symbol" w:hAnsi="Symbol" w:hint="default"/>
        <w:color w:val="BFBFBF" w:themeColor="background1" w:themeShade="BF"/>
        <w:sz w:val="44"/>
      </w:rPr>
    </w:lvl>
    <w:lvl w:ilvl="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2"/>
  </w:num>
  <w:num w:numId="2">
    <w:abstractNumId w:val="9"/>
  </w:num>
  <w:num w:numId="3">
    <w:abstractNumId w:val="4"/>
  </w:num>
  <w:num w:numId="4">
    <w:abstractNumId w:val="18"/>
  </w:num>
  <w:num w:numId="5">
    <w:abstractNumId w:val="10"/>
  </w:num>
  <w:num w:numId="6">
    <w:abstractNumId w:val="3"/>
  </w:num>
  <w:num w:numId="7">
    <w:abstractNumId w:val="17"/>
  </w:num>
  <w:num w:numId="8">
    <w:abstractNumId w:val="0"/>
  </w:num>
  <w:num w:numId="9">
    <w:abstractNumId w:val="16"/>
  </w:num>
  <w:num w:numId="10">
    <w:abstractNumId w:val="5"/>
  </w:num>
  <w:num w:numId="11">
    <w:abstractNumId w:val="1"/>
  </w:num>
  <w:num w:numId="12">
    <w:abstractNumId w:val="13"/>
  </w:num>
  <w:num w:numId="13">
    <w:abstractNumId w:val="12"/>
  </w:num>
  <w:num w:numId="14">
    <w:abstractNumId w:val="14"/>
  </w:num>
  <w:num w:numId="15">
    <w:abstractNumId w:val="11"/>
  </w:num>
  <w:num w:numId="16">
    <w:abstractNumId w:val="7"/>
  </w:num>
  <w:num w:numId="17">
    <w:abstractNumId w:val="8"/>
  </w:num>
  <w:num w:numId="18">
    <w:abstractNumId w:val="6"/>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E5"/>
    <w:rsid w:val="00003366"/>
    <w:rsid w:val="00016B3E"/>
    <w:rsid w:val="0002095A"/>
    <w:rsid w:val="0002476B"/>
    <w:rsid w:val="000256D1"/>
    <w:rsid w:val="00025C08"/>
    <w:rsid w:val="00031090"/>
    <w:rsid w:val="00031940"/>
    <w:rsid w:val="000419DA"/>
    <w:rsid w:val="00043049"/>
    <w:rsid w:val="00046269"/>
    <w:rsid w:val="000501EF"/>
    <w:rsid w:val="0005192E"/>
    <w:rsid w:val="00052A16"/>
    <w:rsid w:val="00052FC1"/>
    <w:rsid w:val="00071638"/>
    <w:rsid w:val="000949E2"/>
    <w:rsid w:val="000A0271"/>
    <w:rsid w:val="000A292A"/>
    <w:rsid w:val="000A3AD5"/>
    <w:rsid w:val="000B72C4"/>
    <w:rsid w:val="000C096F"/>
    <w:rsid w:val="000C17F0"/>
    <w:rsid w:val="000D0DB0"/>
    <w:rsid w:val="000D3A63"/>
    <w:rsid w:val="000D4DE1"/>
    <w:rsid w:val="000D6EF9"/>
    <w:rsid w:val="000E4FA4"/>
    <w:rsid w:val="000E786C"/>
    <w:rsid w:val="000F05CB"/>
    <w:rsid w:val="000F0F61"/>
    <w:rsid w:val="000F265D"/>
    <w:rsid w:val="000F3D10"/>
    <w:rsid w:val="00101E79"/>
    <w:rsid w:val="00102B1F"/>
    <w:rsid w:val="00105843"/>
    <w:rsid w:val="00113040"/>
    <w:rsid w:val="00117CF0"/>
    <w:rsid w:val="0012096B"/>
    <w:rsid w:val="00127165"/>
    <w:rsid w:val="001327A7"/>
    <w:rsid w:val="0013606C"/>
    <w:rsid w:val="00140210"/>
    <w:rsid w:val="0014433A"/>
    <w:rsid w:val="00152B06"/>
    <w:rsid w:val="001563C2"/>
    <w:rsid w:val="00164DB6"/>
    <w:rsid w:val="00185E53"/>
    <w:rsid w:val="00193F49"/>
    <w:rsid w:val="00194544"/>
    <w:rsid w:val="001A02A2"/>
    <w:rsid w:val="001A6672"/>
    <w:rsid w:val="001B1F5C"/>
    <w:rsid w:val="001B53CF"/>
    <w:rsid w:val="001B64BE"/>
    <w:rsid w:val="001B7AAA"/>
    <w:rsid w:val="001C4F57"/>
    <w:rsid w:val="001C7FCB"/>
    <w:rsid w:val="001D6382"/>
    <w:rsid w:val="001D6D9F"/>
    <w:rsid w:val="001F1054"/>
    <w:rsid w:val="00200D9C"/>
    <w:rsid w:val="00201634"/>
    <w:rsid w:val="00206B45"/>
    <w:rsid w:val="0020713C"/>
    <w:rsid w:val="0020797E"/>
    <w:rsid w:val="00210F46"/>
    <w:rsid w:val="00214754"/>
    <w:rsid w:val="00217058"/>
    <w:rsid w:val="00222497"/>
    <w:rsid w:val="002276B5"/>
    <w:rsid w:val="00235DE2"/>
    <w:rsid w:val="00236E21"/>
    <w:rsid w:val="0024054F"/>
    <w:rsid w:val="0024362F"/>
    <w:rsid w:val="00246060"/>
    <w:rsid w:val="00253333"/>
    <w:rsid w:val="00257681"/>
    <w:rsid w:val="00262B32"/>
    <w:rsid w:val="00271A79"/>
    <w:rsid w:val="00282087"/>
    <w:rsid w:val="00287C3E"/>
    <w:rsid w:val="00296F8F"/>
    <w:rsid w:val="002A0D5A"/>
    <w:rsid w:val="002A2CAA"/>
    <w:rsid w:val="002B0253"/>
    <w:rsid w:val="002B1C59"/>
    <w:rsid w:val="002C0C97"/>
    <w:rsid w:val="002C5143"/>
    <w:rsid w:val="002D3E7C"/>
    <w:rsid w:val="002E0A60"/>
    <w:rsid w:val="002E394F"/>
    <w:rsid w:val="002E4E12"/>
    <w:rsid w:val="002F43A9"/>
    <w:rsid w:val="002F47E8"/>
    <w:rsid w:val="00300A55"/>
    <w:rsid w:val="003047DC"/>
    <w:rsid w:val="00313850"/>
    <w:rsid w:val="00324D69"/>
    <w:rsid w:val="00327A88"/>
    <w:rsid w:val="00342E81"/>
    <w:rsid w:val="0034703A"/>
    <w:rsid w:val="0034713C"/>
    <w:rsid w:val="00354718"/>
    <w:rsid w:val="00375A13"/>
    <w:rsid w:val="00393C91"/>
    <w:rsid w:val="00394F06"/>
    <w:rsid w:val="00396C26"/>
    <w:rsid w:val="003A1370"/>
    <w:rsid w:val="003A7EA7"/>
    <w:rsid w:val="003B0B3C"/>
    <w:rsid w:val="003C684E"/>
    <w:rsid w:val="003C689F"/>
    <w:rsid w:val="003D1314"/>
    <w:rsid w:val="003D4693"/>
    <w:rsid w:val="003D5C1D"/>
    <w:rsid w:val="003E0775"/>
    <w:rsid w:val="003F0598"/>
    <w:rsid w:val="003F6B4E"/>
    <w:rsid w:val="00416156"/>
    <w:rsid w:val="00425052"/>
    <w:rsid w:val="00430DBF"/>
    <w:rsid w:val="0044257D"/>
    <w:rsid w:val="0044453B"/>
    <w:rsid w:val="004459B6"/>
    <w:rsid w:val="00446A2C"/>
    <w:rsid w:val="00446B74"/>
    <w:rsid w:val="0044796C"/>
    <w:rsid w:val="004500A9"/>
    <w:rsid w:val="00453FE9"/>
    <w:rsid w:val="0046373C"/>
    <w:rsid w:val="00467162"/>
    <w:rsid w:val="004710A6"/>
    <w:rsid w:val="00480968"/>
    <w:rsid w:val="00484E0B"/>
    <w:rsid w:val="004935AA"/>
    <w:rsid w:val="004A2864"/>
    <w:rsid w:val="004A2C99"/>
    <w:rsid w:val="004A3607"/>
    <w:rsid w:val="004A40B9"/>
    <w:rsid w:val="004A64F1"/>
    <w:rsid w:val="004A7CDD"/>
    <w:rsid w:val="004B0325"/>
    <w:rsid w:val="004B0B20"/>
    <w:rsid w:val="004B3615"/>
    <w:rsid w:val="004B6385"/>
    <w:rsid w:val="004B650E"/>
    <w:rsid w:val="004C536A"/>
    <w:rsid w:val="004D2B79"/>
    <w:rsid w:val="004E3D4D"/>
    <w:rsid w:val="004E61DD"/>
    <w:rsid w:val="004F04DA"/>
    <w:rsid w:val="004F0F38"/>
    <w:rsid w:val="004F129D"/>
    <w:rsid w:val="00500BF6"/>
    <w:rsid w:val="00504F0C"/>
    <w:rsid w:val="00505630"/>
    <w:rsid w:val="005153F4"/>
    <w:rsid w:val="00521AB7"/>
    <w:rsid w:val="00524D58"/>
    <w:rsid w:val="0052655E"/>
    <w:rsid w:val="0052757A"/>
    <w:rsid w:val="00527D93"/>
    <w:rsid w:val="00530FEA"/>
    <w:rsid w:val="00531637"/>
    <w:rsid w:val="00536BB0"/>
    <w:rsid w:val="00536F4C"/>
    <w:rsid w:val="00541ACB"/>
    <w:rsid w:val="00547130"/>
    <w:rsid w:val="00554CD6"/>
    <w:rsid w:val="00555BC1"/>
    <w:rsid w:val="005577C2"/>
    <w:rsid w:val="0056199A"/>
    <w:rsid w:val="005632EA"/>
    <w:rsid w:val="005674E3"/>
    <w:rsid w:val="00571D67"/>
    <w:rsid w:val="00582579"/>
    <w:rsid w:val="005829E1"/>
    <w:rsid w:val="00582D68"/>
    <w:rsid w:val="0058311E"/>
    <w:rsid w:val="0058700F"/>
    <w:rsid w:val="00594A80"/>
    <w:rsid w:val="00594F40"/>
    <w:rsid w:val="005951F6"/>
    <w:rsid w:val="005A5164"/>
    <w:rsid w:val="005A64AB"/>
    <w:rsid w:val="005B40FC"/>
    <w:rsid w:val="005B676C"/>
    <w:rsid w:val="005D01F9"/>
    <w:rsid w:val="005D1B85"/>
    <w:rsid w:val="005D3FBB"/>
    <w:rsid w:val="005D695B"/>
    <w:rsid w:val="005F1CEF"/>
    <w:rsid w:val="005F520D"/>
    <w:rsid w:val="005F7CDE"/>
    <w:rsid w:val="006010FA"/>
    <w:rsid w:val="00601F30"/>
    <w:rsid w:val="00602916"/>
    <w:rsid w:val="00620CC4"/>
    <w:rsid w:val="0062145F"/>
    <w:rsid w:val="00621E77"/>
    <w:rsid w:val="0062335C"/>
    <w:rsid w:val="006371ED"/>
    <w:rsid w:val="00641FA6"/>
    <w:rsid w:val="0064308B"/>
    <w:rsid w:val="006436BE"/>
    <w:rsid w:val="00654CE3"/>
    <w:rsid w:val="00655196"/>
    <w:rsid w:val="00655B6B"/>
    <w:rsid w:val="00663B68"/>
    <w:rsid w:val="0066549A"/>
    <w:rsid w:val="006665A3"/>
    <w:rsid w:val="00677C14"/>
    <w:rsid w:val="00692892"/>
    <w:rsid w:val="00692F92"/>
    <w:rsid w:val="00693B7C"/>
    <w:rsid w:val="006A2565"/>
    <w:rsid w:val="006A452B"/>
    <w:rsid w:val="006B0DA3"/>
    <w:rsid w:val="006B23A2"/>
    <w:rsid w:val="006C7B4C"/>
    <w:rsid w:val="006D3409"/>
    <w:rsid w:val="006D7E3D"/>
    <w:rsid w:val="006E2BD8"/>
    <w:rsid w:val="006E362F"/>
    <w:rsid w:val="006F268A"/>
    <w:rsid w:val="006F3553"/>
    <w:rsid w:val="006F554D"/>
    <w:rsid w:val="006F6B05"/>
    <w:rsid w:val="00701DB9"/>
    <w:rsid w:val="00711159"/>
    <w:rsid w:val="00714F8F"/>
    <w:rsid w:val="007213A7"/>
    <w:rsid w:val="0073227C"/>
    <w:rsid w:val="00741359"/>
    <w:rsid w:val="00741D25"/>
    <w:rsid w:val="00745FB5"/>
    <w:rsid w:val="007500AD"/>
    <w:rsid w:val="00764384"/>
    <w:rsid w:val="00773837"/>
    <w:rsid w:val="007753F0"/>
    <w:rsid w:val="00775CB7"/>
    <w:rsid w:val="00781767"/>
    <w:rsid w:val="00792042"/>
    <w:rsid w:val="00797E27"/>
    <w:rsid w:val="007A282D"/>
    <w:rsid w:val="007A450E"/>
    <w:rsid w:val="007A5042"/>
    <w:rsid w:val="007B186B"/>
    <w:rsid w:val="007C0D6F"/>
    <w:rsid w:val="007C340D"/>
    <w:rsid w:val="007D1F61"/>
    <w:rsid w:val="007E08B8"/>
    <w:rsid w:val="007E1A95"/>
    <w:rsid w:val="007E5E13"/>
    <w:rsid w:val="007F3A6D"/>
    <w:rsid w:val="008101DC"/>
    <w:rsid w:val="008115C1"/>
    <w:rsid w:val="00817678"/>
    <w:rsid w:val="00821B57"/>
    <w:rsid w:val="00823F26"/>
    <w:rsid w:val="00824AE5"/>
    <w:rsid w:val="00834F52"/>
    <w:rsid w:val="008431A3"/>
    <w:rsid w:val="00856A05"/>
    <w:rsid w:val="00863D76"/>
    <w:rsid w:val="00864ED7"/>
    <w:rsid w:val="008653BB"/>
    <w:rsid w:val="008660F8"/>
    <w:rsid w:val="00873B05"/>
    <w:rsid w:val="00876198"/>
    <w:rsid w:val="00882367"/>
    <w:rsid w:val="00886956"/>
    <w:rsid w:val="008870B0"/>
    <w:rsid w:val="00893A71"/>
    <w:rsid w:val="00896E73"/>
    <w:rsid w:val="008A2B99"/>
    <w:rsid w:val="008B3CFB"/>
    <w:rsid w:val="008C716F"/>
    <w:rsid w:val="008D2C9F"/>
    <w:rsid w:val="008D337F"/>
    <w:rsid w:val="008D7051"/>
    <w:rsid w:val="008D79E2"/>
    <w:rsid w:val="008E408F"/>
    <w:rsid w:val="008E41EE"/>
    <w:rsid w:val="008E69C4"/>
    <w:rsid w:val="008F59CE"/>
    <w:rsid w:val="00900CBB"/>
    <w:rsid w:val="00916581"/>
    <w:rsid w:val="00917FF1"/>
    <w:rsid w:val="00921897"/>
    <w:rsid w:val="009219A4"/>
    <w:rsid w:val="00922BD2"/>
    <w:rsid w:val="009271CA"/>
    <w:rsid w:val="00942051"/>
    <w:rsid w:val="00945A22"/>
    <w:rsid w:val="009464E1"/>
    <w:rsid w:val="009528B4"/>
    <w:rsid w:val="009541B1"/>
    <w:rsid w:val="00957A50"/>
    <w:rsid w:val="00957CF0"/>
    <w:rsid w:val="00960BBF"/>
    <w:rsid w:val="009617F0"/>
    <w:rsid w:val="00962814"/>
    <w:rsid w:val="00963929"/>
    <w:rsid w:val="00964228"/>
    <w:rsid w:val="00964C9F"/>
    <w:rsid w:val="00975D83"/>
    <w:rsid w:val="0098025D"/>
    <w:rsid w:val="00980E4B"/>
    <w:rsid w:val="00985F9C"/>
    <w:rsid w:val="009A2A46"/>
    <w:rsid w:val="009A41FA"/>
    <w:rsid w:val="009A7A93"/>
    <w:rsid w:val="009B020A"/>
    <w:rsid w:val="009B2BA6"/>
    <w:rsid w:val="009B3FD5"/>
    <w:rsid w:val="009B4B42"/>
    <w:rsid w:val="009B78B4"/>
    <w:rsid w:val="009C225B"/>
    <w:rsid w:val="009C71E0"/>
    <w:rsid w:val="009D3BAB"/>
    <w:rsid w:val="009E1202"/>
    <w:rsid w:val="009E427E"/>
    <w:rsid w:val="009F203C"/>
    <w:rsid w:val="009F47B6"/>
    <w:rsid w:val="00A02EC8"/>
    <w:rsid w:val="00A3031A"/>
    <w:rsid w:val="00A34D37"/>
    <w:rsid w:val="00A374F3"/>
    <w:rsid w:val="00A37DEC"/>
    <w:rsid w:val="00A403B0"/>
    <w:rsid w:val="00A64ED8"/>
    <w:rsid w:val="00A65CAC"/>
    <w:rsid w:val="00A9003B"/>
    <w:rsid w:val="00A91530"/>
    <w:rsid w:val="00A9685C"/>
    <w:rsid w:val="00A9703B"/>
    <w:rsid w:val="00A977E1"/>
    <w:rsid w:val="00AA18C8"/>
    <w:rsid w:val="00AA3260"/>
    <w:rsid w:val="00AA3C95"/>
    <w:rsid w:val="00AB25E6"/>
    <w:rsid w:val="00AB34EE"/>
    <w:rsid w:val="00AB7190"/>
    <w:rsid w:val="00AC5B93"/>
    <w:rsid w:val="00AD158E"/>
    <w:rsid w:val="00AE11BE"/>
    <w:rsid w:val="00AE7271"/>
    <w:rsid w:val="00AE73A8"/>
    <w:rsid w:val="00AF16F2"/>
    <w:rsid w:val="00AF22C7"/>
    <w:rsid w:val="00AF3E83"/>
    <w:rsid w:val="00AF6C9B"/>
    <w:rsid w:val="00AF7F9A"/>
    <w:rsid w:val="00B0023F"/>
    <w:rsid w:val="00B03C23"/>
    <w:rsid w:val="00B13D0B"/>
    <w:rsid w:val="00B15D0E"/>
    <w:rsid w:val="00B30ACC"/>
    <w:rsid w:val="00B35BE7"/>
    <w:rsid w:val="00B531A5"/>
    <w:rsid w:val="00B546C5"/>
    <w:rsid w:val="00B554ED"/>
    <w:rsid w:val="00B61FBA"/>
    <w:rsid w:val="00B64DA6"/>
    <w:rsid w:val="00B6631D"/>
    <w:rsid w:val="00B70A6A"/>
    <w:rsid w:val="00B718B0"/>
    <w:rsid w:val="00B72401"/>
    <w:rsid w:val="00B736F9"/>
    <w:rsid w:val="00B737E3"/>
    <w:rsid w:val="00B80D1B"/>
    <w:rsid w:val="00B83D20"/>
    <w:rsid w:val="00B94DB9"/>
    <w:rsid w:val="00B963A7"/>
    <w:rsid w:val="00B97479"/>
    <w:rsid w:val="00BA285A"/>
    <w:rsid w:val="00BA2C4D"/>
    <w:rsid w:val="00BB0456"/>
    <w:rsid w:val="00BC2D23"/>
    <w:rsid w:val="00BE0FA5"/>
    <w:rsid w:val="00BE13E4"/>
    <w:rsid w:val="00BF3A3C"/>
    <w:rsid w:val="00BF64EB"/>
    <w:rsid w:val="00BF790D"/>
    <w:rsid w:val="00BF7CBE"/>
    <w:rsid w:val="00C002A8"/>
    <w:rsid w:val="00C039B5"/>
    <w:rsid w:val="00C17AF7"/>
    <w:rsid w:val="00C231DA"/>
    <w:rsid w:val="00C2760F"/>
    <w:rsid w:val="00C419BD"/>
    <w:rsid w:val="00C51051"/>
    <w:rsid w:val="00C54E4E"/>
    <w:rsid w:val="00C5562F"/>
    <w:rsid w:val="00C55C23"/>
    <w:rsid w:val="00C60C15"/>
    <w:rsid w:val="00C64242"/>
    <w:rsid w:val="00C6526A"/>
    <w:rsid w:val="00C72AF1"/>
    <w:rsid w:val="00C77A37"/>
    <w:rsid w:val="00C819E9"/>
    <w:rsid w:val="00C94F01"/>
    <w:rsid w:val="00C9788A"/>
    <w:rsid w:val="00CA2D99"/>
    <w:rsid w:val="00CB1CE2"/>
    <w:rsid w:val="00CC0123"/>
    <w:rsid w:val="00CC3F5B"/>
    <w:rsid w:val="00CD07B6"/>
    <w:rsid w:val="00CD7222"/>
    <w:rsid w:val="00CE072D"/>
    <w:rsid w:val="00CE4B2C"/>
    <w:rsid w:val="00CF06CF"/>
    <w:rsid w:val="00CF3569"/>
    <w:rsid w:val="00D000BE"/>
    <w:rsid w:val="00D04CC4"/>
    <w:rsid w:val="00D06AEF"/>
    <w:rsid w:val="00D207F4"/>
    <w:rsid w:val="00D208B3"/>
    <w:rsid w:val="00D20D01"/>
    <w:rsid w:val="00D228A6"/>
    <w:rsid w:val="00D319F5"/>
    <w:rsid w:val="00D327FC"/>
    <w:rsid w:val="00D337E0"/>
    <w:rsid w:val="00D36A79"/>
    <w:rsid w:val="00D40215"/>
    <w:rsid w:val="00D40999"/>
    <w:rsid w:val="00D44BFC"/>
    <w:rsid w:val="00D50C05"/>
    <w:rsid w:val="00D51796"/>
    <w:rsid w:val="00D52949"/>
    <w:rsid w:val="00D810BB"/>
    <w:rsid w:val="00D84358"/>
    <w:rsid w:val="00D85DAD"/>
    <w:rsid w:val="00D93E80"/>
    <w:rsid w:val="00D94385"/>
    <w:rsid w:val="00D94C4A"/>
    <w:rsid w:val="00DA0051"/>
    <w:rsid w:val="00DA792A"/>
    <w:rsid w:val="00DB0BE7"/>
    <w:rsid w:val="00DB2DC7"/>
    <w:rsid w:val="00DB6330"/>
    <w:rsid w:val="00DC631E"/>
    <w:rsid w:val="00DD23E5"/>
    <w:rsid w:val="00DE684A"/>
    <w:rsid w:val="00DF11C1"/>
    <w:rsid w:val="00E02C2B"/>
    <w:rsid w:val="00E03831"/>
    <w:rsid w:val="00E0450D"/>
    <w:rsid w:val="00E06F94"/>
    <w:rsid w:val="00E1216E"/>
    <w:rsid w:val="00E232C6"/>
    <w:rsid w:val="00E3018E"/>
    <w:rsid w:val="00E3340C"/>
    <w:rsid w:val="00E47D2D"/>
    <w:rsid w:val="00E534D0"/>
    <w:rsid w:val="00E538B4"/>
    <w:rsid w:val="00E53D05"/>
    <w:rsid w:val="00E54649"/>
    <w:rsid w:val="00E60E6F"/>
    <w:rsid w:val="00E61B48"/>
    <w:rsid w:val="00E65245"/>
    <w:rsid w:val="00E72AB8"/>
    <w:rsid w:val="00E80798"/>
    <w:rsid w:val="00E81AFB"/>
    <w:rsid w:val="00E87D7E"/>
    <w:rsid w:val="00E90CDF"/>
    <w:rsid w:val="00E90F49"/>
    <w:rsid w:val="00E9187E"/>
    <w:rsid w:val="00E94E4C"/>
    <w:rsid w:val="00EA0F49"/>
    <w:rsid w:val="00EA5EBF"/>
    <w:rsid w:val="00EA6B01"/>
    <w:rsid w:val="00EB3D7C"/>
    <w:rsid w:val="00EB676F"/>
    <w:rsid w:val="00EC1D7A"/>
    <w:rsid w:val="00ED3D99"/>
    <w:rsid w:val="00ED4039"/>
    <w:rsid w:val="00ED7AE6"/>
    <w:rsid w:val="00EF4792"/>
    <w:rsid w:val="00EF5659"/>
    <w:rsid w:val="00F05851"/>
    <w:rsid w:val="00F13F14"/>
    <w:rsid w:val="00F15506"/>
    <w:rsid w:val="00F17FAC"/>
    <w:rsid w:val="00F245E8"/>
    <w:rsid w:val="00F27A7C"/>
    <w:rsid w:val="00F34CB4"/>
    <w:rsid w:val="00F3780A"/>
    <w:rsid w:val="00F3798C"/>
    <w:rsid w:val="00F37D38"/>
    <w:rsid w:val="00F400A7"/>
    <w:rsid w:val="00F4091F"/>
    <w:rsid w:val="00F43897"/>
    <w:rsid w:val="00F45339"/>
    <w:rsid w:val="00F46C70"/>
    <w:rsid w:val="00F511F1"/>
    <w:rsid w:val="00F52434"/>
    <w:rsid w:val="00F7221A"/>
    <w:rsid w:val="00F76A39"/>
    <w:rsid w:val="00F84BEB"/>
    <w:rsid w:val="00F852B5"/>
    <w:rsid w:val="00F913E9"/>
    <w:rsid w:val="00F9303D"/>
    <w:rsid w:val="00FA1755"/>
    <w:rsid w:val="00FA1B3D"/>
    <w:rsid w:val="00FA67E1"/>
    <w:rsid w:val="00FB4D88"/>
    <w:rsid w:val="00FC7452"/>
    <w:rsid w:val="00FE684A"/>
    <w:rsid w:val="00FE7771"/>
    <w:rsid w:val="00FE799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5A36004"/>
  <w15:chartTrackingRefBased/>
  <w15:docId w15:val="{096B57C8-30F5-464B-8FDD-6913EC8A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lang w:val="en-US" w:eastAsia="en-US" w:bidi="ar-SA"/>
      </w:rPr>
    </w:rPrDefault>
    <w:pPrDefault>
      <w:pPr>
        <w:spacing w:before="280" w:after="280" w:line="269" w:lineRule="auto"/>
        <w:jc w:val="both"/>
      </w:pPr>
    </w:pPrDefault>
  </w:docDefaults>
  <w:latentStyles w:defLockedState="0" w:defUIPriority="99" w:defSemiHidden="0" w:defUnhideWhenUsed="0" w:defQFormat="0" w:count="371">
    <w:lsdException w:name="heading 1" w:qFormat="1"/>
    <w:lsdException w:name="heading 2" w:semiHidden="1" w:unhideWhenUsed="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75CB7"/>
    <w:rPr>
      <w:lang w:val="fr-LU"/>
    </w:rPr>
  </w:style>
  <w:style w:type="paragraph" w:styleId="Heading1">
    <w:name w:val="heading 1"/>
    <w:basedOn w:val="Normal"/>
    <w:next w:val="Normal"/>
    <w:link w:val="Heading1Char"/>
    <w:uiPriority w:val="99"/>
    <w:semiHidden/>
    <w:qFormat/>
    <w:rsid w:val="00B737E3"/>
    <w:pPr>
      <w:keepNext/>
      <w:keepLines/>
      <w:spacing w:before="240"/>
      <w:outlineLvl w:val="0"/>
    </w:pPr>
    <w:rPr>
      <w:rFonts w:eastAsiaTheme="majorEastAsia" w:cstheme="majorBidi"/>
      <w:b/>
      <w:sz w:val="40"/>
      <w:szCs w:val="32"/>
    </w:rPr>
  </w:style>
  <w:style w:type="paragraph" w:styleId="Heading2">
    <w:name w:val="heading 2"/>
    <w:basedOn w:val="Normal"/>
    <w:next w:val="Normal"/>
    <w:link w:val="Heading2Char"/>
    <w:uiPriority w:val="99"/>
    <w:semiHidden/>
    <w:qFormat/>
    <w:rsid w:val="00B737E3"/>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semiHidden/>
    <w:rsid w:val="001C7FCB"/>
    <w:pPr>
      <w:tabs>
        <w:tab w:val="center" w:pos="4680"/>
        <w:tab w:val="right" w:pos="9360"/>
      </w:tabs>
      <w:spacing w:before="0" w:after="0"/>
    </w:pPr>
    <w:rPr>
      <w:lang w:val="en-GB"/>
    </w:rPr>
  </w:style>
  <w:style w:type="character" w:customStyle="1" w:styleId="HeaderChar">
    <w:name w:val="Header Char"/>
    <w:basedOn w:val="DefaultParagraphFont"/>
    <w:link w:val="Header"/>
    <w:uiPriority w:val="99"/>
    <w:semiHidden/>
    <w:rsid w:val="001C7FCB"/>
    <w:rPr>
      <w:lang w:val="en-GB"/>
    </w:rPr>
  </w:style>
  <w:style w:type="paragraph" w:styleId="Footer">
    <w:name w:val="footer"/>
    <w:link w:val="FooterChar"/>
    <w:uiPriority w:val="99"/>
    <w:rsid w:val="001C7FCB"/>
    <w:pPr>
      <w:tabs>
        <w:tab w:val="center" w:pos="4680"/>
        <w:tab w:val="right" w:pos="9360"/>
      </w:tabs>
      <w:spacing w:before="0" w:after="0"/>
    </w:pPr>
    <w:rPr>
      <w:lang w:val="en-GB"/>
    </w:rPr>
  </w:style>
  <w:style w:type="character" w:customStyle="1" w:styleId="FooterChar">
    <w:name w:val="Footer Char"/>
    <w:basedOn w:val="DefaultParagraphFont"/>
    <w:link w:val="Footer"/>
    <w:uiPriority w:val="99"/>
    <w:rsid w:val="001C7FCB"/>
    <w:rPr>
      <w:lang w:val="en-GB"/>
    </w:rPr>
  </w:style>
  <w:style w:type="character" w:styleId="PageNumber">
    <w:name w:val="page number"/>
    <w:basedOn w:val="DefaultParagraphFont"/>
    <w:uiPriority w:val="99"/>
    <w:semiHidden/>
    <w:rsid w:val="00BB0456"/>
  </w:style>
  <w:style w:type="character" w:customStyle="1" w:styleId="Heading1Char">
    <w:name w:val="Heading 1 Char"/>
    <w:basedOn w:val="DefaultParagraphFont"/>
    <w:link w:val="Heading1"/>
    <w:uiPriority w:val="99"/>
    <w:semiHidden/>
    <w:rsid w:val="007E08B8"/>
    <w:rPr>
      <w:rFonts w:eastAsiaTheme="majorEastAsia" w:cstheme="majorBidi"/>
      <w:b/>
      <w:sz w:val="40"/>
      <w:szCs w:val="32"/>
      <w:lang w:val="fr-LU"/>
    </w:rPr>
  </w:style>
  <w:style w:type="character" w:customStyle="1" w:styleId="Heading2Char">
    <w:name w:val="Heading 2 Char"/>
    <w:basedOn w:val="DefaultParagraphFont"/>
    <w:link w:val="Heading2"/>
    <w:uiPriority w:val="99"/>
    <w:semiHidden/>
    <w:rsid w:val="007E08B8"/>
    <w:rPr>
      <w:rFonts w:eastAsiaTheme="majorEastAsia" w:cstheme="majorBidi"/>
      <w:b/>
      <w:sz w:val="28"/>
      <w:szCs w:val="26"/>
      <w:lang w:val="fr-LU"/>
    </w:rPr>
  </w:style>
  <w:style w:type="paragraph" w:styleId="Title">
    <w:name w:val="Title"/>
    <w:next w:val="Normal"/>
    <w:link w:val="TitleChar"/>
    <w:uiPriority w:val="99"/>
    <w:semiHidden/>
    <w:rsid w:val="00B737E3"/>
    <w:pPr>
      <w:contextualSpacing/>
    </w:pPr>
    <w:rPr>
      <w:rFonts w:eastAsiaTheme="majorEastAsia" w:cstheme="majorBidi"/>
      <w:kern w:val="28"/>
      <w:szCs w:val="56"/>
      <w:lang w:val="fr-LU"/>
    </w:rPr>
  </w:style>
  <w:style w:type="character" w:customStyle="1" w:styleId="TitleChar">
    <w:name w:val="Title Char"/>
    <w:basedOn w:val="DefaultParagraphFont"/>
    <w:link w:val="Title"/>
    <w:uiPriority w:val="99"/>
    <w:semiHidden/>
    <w:rsid w:val="007E08B8"/>
    <w:rPr>
      <w:rFonts w:eastAsiaTheme="majorEastAsia" w:cstheme="majorBidi"/>
      <w:kern w:val="28"/>
      <w:szCs w:val="56"/>
      <w:lang w:val="fr-LU"/>
    </w:rPr>
  </w:style>
  <w:style w:type="paragraph" w:styleId="Subtitle">
    <w:name w:val="Subtitle"/>
    <w:next w:val="Normal"/>
    <w:link w:val="SubtitleChar"/>
    <w:uiPriority w:val="99"/>
    <w:semiHidden/>
    <w:rsid w:val="00B737E3"/>
    <w:pPr>
      <w:numPr>
        <w:ilvl w:val="1"/>
      </w:numPr>
      <w:spacing w:after="160"/>
    </w:pPr>
    <w:rPr>
      <w:rFonts w:eastAsiaTheme="minorEastAsia"/>
      <w:szCs w:val="22"/>
      <w:lang w:val="fr-LU"/>
    </w:rPr>
  </w:style>
  <w:style w:type="character" w:customStyle="1" w:styleId="SubtitleChar">
    <w:name w:val="Subtitle Char"/>
    <w:basedOn w:val="DefaultParagraphFont"/>
    <w:link w:val="Subtitle"/>
    <w:uiPriority w:val="99"/>
    <w:semiHidden/>
    <w:rsid w:val="007E08B8"/>
    <w:rPr>
      <w:rFonts w:eastAsiaTheme="minorEastAsia"/>
      <w:szCs w:val="22"/>
      <w:lang w:val="fr-LU"/>
    </w:rPr>
  </w:style>
  <w:style w:type="paragraph" w:styleId="BalloonText">
    <w:name w:val="Balloon Text"/>
    <w:basedOn w:val="Normal"/>
    <w:link w:val="BalloonTextChar"/>
    <w:uiPriority w:val="99"/>
    <w:semiHidden/>
    <w:rsid w:val="00BB0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56"/>
    <w:rPr>
      <w:rFonts w:ascii="Segoe UI" w:hAnsi="Segoe UI" w:cs="Segoe UI"/>
      <w:sz w:val="18"/>
      <w:szCs w:val="18"/>
    </w:rPr>
  </w:style>
  <w:style w:type="paragraph" w:styleId="FootnoteText">
    <w:name w:val="footnote text"/>
    <w:link w:val="FootnoteTextChar"/>
    <w:uiPriority w:val="99"/>
    <w:semiHidden/>
    <w:rsid w:val="001C7FCB"/>
    <w:pPr>
      <w:spacing w:before="0" w:after="0" w:line="240" w:lineRule="auto"/>
    </w:pPr>
    <w:rPr>
      <w:sz w:val="16"/>
      <w:lang w:val="en-GB"/>
    </w:rPr>
  </w:style>
  <w:style w:type="character" w:customStyle="1" w:styleId="FootnoteTextChar">
    <w:name w:val="Footnote Text Char"/>
    <w:basedOn w:val="DefaultParagraphFont"/>
    <w:link w:val="FootnoteText"/>
    <w:uiPriority w:val="99"/>
    <w:semiHidden/>
    <w:rsid w:val="001C7FCB"/>
    <w:rPr>
      <w:sz w:val="16"/>
      <w:lang w:val="en-GB"/>
    </w:rPr>
  </w:style>
  <w:style w:type="character" w:styleId="FootnoteReference">
    <w:name w:val="footnote reference"/>
    <w:uiPriority w:val="99"/>
    <w:semiHidden/>
    <w:rsid w:val="001C7FCB"/>
    <w:rPr>
      <w:vertAlign w:val="superscript"/>
      <w:lang w:val="en-GB"/>
    </w:rPr>
  </w:style>
  <w:style w:type="paragraph" w:styleId="NoSpacing">
    <w:name w:val="No Spacing"/>
    <w:uiPriority w:val="99"/>
    <w:rsid w:val="001C7FCB"/>
    <w:pPr>
      <w:spacing w:before="0" w:after="0"/>
    </w:pPr>
    <w:rPr>
      <w:lang w:val="en-GB"/>
    </w:rPr>
  </w:style>
  <w:style w:type="paragraph" w:styleId="TOC1">
    <w:name w:val="toc 1"/>
    <w:basedOn w:val="AMNormal"/>
    <w:next w:val="AMNormal"/>
    <w:autoRedefine/>
    <w:uiPriority w:val="99"/>
    <w:semiHidden/>
    <w:unhideWhenUsed/>
    <w:rsid w:val="00773837"/>
    <w:pPr>
      <w:tabs>
        <w:tab w:val="left" w:pos="851"/>
        <w:tab w:val="right" w:leader="dot" w:pos="9072"/>
      </w:tabs>
      <w:spacing w:before="120" w:after="120"/>
      <w:ind w:left="851" w:hanging="851"/>
    </w:pPr>
  </w:style>
  <w:style w:type="paragraph" w:styleId="TOC2">
    <w:name w:val="toc 2"/>
    <w:basedOn w:val="AMNormal"/>
    <w:next w:val="AMNormal"/>
    <w:autoRedefine/>
    <w:uiPriority w:val="99"/>
    <w:semiHidden/>
    <w:unhideWhenUsed/>
    <w:rsid w:val="00773837"/>
    <w:pPr>
      <w:tabs>
        <w:tab w:val="left" w:pos="851"/>
        <w:tab w:val="right" w:leader="dot" w:pos="9072"/>
      </w:tabs>
      <w:spacing w:before="120" w:after="120"/>
      <w:ind w:left="851" w:hanging="851"/>
    </w:pPr>
  </w:style>
  <w:style w:type="paragraph" w:customStyle="1" w:styleId="AMBulletLevel1">
    <w:name w:val="A&amp;M Bullet Level 1"/>
    <w:uiPriority w:val="9"/>
    <w:qFormat/>
    <w:rsid w:val="001C7FCB"/>
    <w:pPr>
      <w:numPr>
        <w:numId w:val="1"/>
      </w:numPr>
    </w:pPr>
    <w:rPr>
      <w:rFonts w:eastAsia="Times New Roman" w:cs="Times New Roman"/>
      <w:lang w:val="en-GB" w:eastAsia="fr-BE"/>
    </w:rPr>
  </w:style>
  <w:style w:type="paragraph" w:customStyle="1" w:styleId="AMBulletLevel2">
    <w:name w:val="A&amp;M Bullet Level 2"/>
    <w:uiPriority w:val="9"/>
    <w:qFormat/>
    <w:rsid w:val="001C7FCB"/>
    <w:pPr>
      <w:numPr>
        <w:ilvl w:val="1"/>
        <w:numId w:val="1"/>
      </w:numPr>
    </w:pPr>
    <w:rPr>
      <w:rFonts w:eastAsia="Times New Roman" w:cs="Times New Roman"/>
      <w:lang w:val="en-GB" w:eastAsia="fr-BE"/>
    </w:rPr>
  </w:style>
  <w:style w:type="paragraph" w:customStyle="1" w:styleId="AMBulletLevel3">
    <w:name w:val="A&amp;M Bullet Level 3"/>
    <w:uiPriority w:val="9"/>
    <w:qFormat/>
    <w:rsid w:val="001C7FCB"/>
    <w:pPr>
      <w:numPr>
        <w:ilvl w:val="2"/>
        <w:numId w:val="1"/>
      </w:numPr>
    </w:pPr>
    <w:rPr>
      <w:rFonts w:eastAsia="Times New Roman" w:cs="Times New Roman"/>
      <w:lang w:val="en-GB" w:eastAsia="fr-BE"/>
    </w:rPr>
  </w:style>
  <w:style w:type="paragraph" w:customStyle="1" w:styleId="AMBulletLevel4">
    <w:name w:val="A&amp;M Bullet Level 4"/>
    <w:uiPriority w:val="9"/>
    <w:qFormat/>
    <w:rsid w:val="001C7FCB"/>
    <w:pPr>
      <w:numPr>
        <w:ilvl w:val="3"/>
        <w:numId w:val="1"/>
      </w:numPr>
    </w:pPr>
    <w:rPr>
      <w:rFonts w:eastAsia="Times New Roman" w:cs="Times New Roman"/>
      <w:lang w:val="en-GB" w:eastAsia="fr-BE"/>
    </w:rPr>
  </w:style>
  <w:style w:type="paragraph" w:customStyle="1" w:styleId="AMBulletLevel5">
    <w:name w:val="A&amp;M Bullet Level 5"/>
    <w:uiPriority w:val="9"/>
    <w:qFormat/>
    <w:rsid w:val="001C7FCB"/>
    <w:pPr>
      <w:numPr>
        <w:ilvl w:val="4"/>
        <w:numId w:val="1"/>
      </w:numPr>
    </w:pPr>
    <w:rPr>
      <w:rFonts w:eastAsia="Times New Roman" w:cs="Times New Roman"/>
      <w:lang w:val="en-GB" w:eastAsia="fr-BE"/>
    </w:rPr>
  </w:style>
  <w:style w:type="paragraph" w:customStyle="1" w:styleId="AMLevel1">
    <w:name w:val="A&amp;M Level 1"/>
    <w:uiPriority w:val="9"/>
    <w:qFormat/>
    <w:rsid w:val="001C7FCB"/>
    <w:pPr>
      <w:numPr>
        <w:numId w:val="2"/>
      </w:numPr>
    </w:pPr>
    <w:rPr>
      <w:rFonts w:eastAsia="Times New Roman" w:cs="Times New Roman"/>
      <w:lang w:val="en-GB" w:eastAsia="fr-BE"/>
    </w:rPr>
  </w:style>
  <w:style w:type="paragraph" w:customStyle="1" w:styleId="AMHeading1">
    <w:name w:val="A&amp;M Heading 1"/>
    <w:basedOn w:val="AMLevel1"/>
    <w:next w:val="AMNormalIndent1"/>
    <w:uiPriority w:val="9"/>
    <w:qFormat/>
    <w:rsid w:val="009B3FD5"/>
    <w:pPr>
      <w:keepNext/>
      <w:outlineLvl w:val="0"/>
    </w:pPr>
    <w:rPr>
      <w:b/>
      <w:caps/>
    </w:rPr>
  </w:style>
  <w:style w:type="paragraph" w:customStyle="1" w:styleId="AMLevel2">
    <w:name w:val="A&amp;M Level 2"/>
    <w:uiPriority w:val="9"/>
    <w:qFormat/>
    <w:rsid w:val="001C7FCB"/>
    <w:pPr>
      <w:numPr>
        <w:ilvl w:val="1"/>
        <w:numId w:val="2"/>
      </w:numPr>
    </w:pPr>
    <w:rPr>
      <w:rFonts w:eastAsia="Times New Roman" w:cs="Times New Roman"/>
      <w:lang w:val="en-GB" w:eastAsia="fr-BE"/>
    </w:rPr>
  </w:style>
  <w:style w:type="paragraph" w:customStyle="1" w:styleId="AMHeading2">
    <w:name w:val="A&amp;M Heading 2"/>
    <w:basedOn w:val="AMLevel2"/>
    <w:next w:val="AMNormalIndent2"/>
    <w:uiPriority w:val="9"/>
    <w:qFormat/>
    <w:rsid w:val="009B3FD5"/>
    <w:pPr>
      <w:keepNext/>
      <w:outlineLvl w:val="1"/>
    </w:pPr>
    <w:rPr>
      <w:b/>
    </w:rPr>
  </w:style>
  <w:style w:type="paragraph" w:customStyle="1" w:styleId="AMLevel3">
    <w:name w:val="A&amp;M Level 3"/>
    <w:uiPriority w:val="9"/>
    <w:qFormat/>
    <w:rsid w:val="001C7FCB"/>
    <w:pPr>
      <w:numPr>
        <w:ilvl w:val="2"/>
        <w:numId w:val="2"/>
      </w:numPr>
    </w:pPr>
    <w:rPr>
      <w:rFonts w:eastAsia="Times New Roman" w:cs="Times New Roman"/>
      <w:lang w:val="en-GB" w:eastAsia="fr-BE"/>
    </w:rPr>
  </w:style>
  <w:style w:type="paragraph" w:customStyle="1" w:styleId="AMLevel4">
    <w:name w:val="A&amp;M Level 4"/>
    <w:uiPriority w:val="9"/>
    <w:qFormat/>
    <w:rsid w:val="001C7FCB"/>
    <w:pPr>
      <w:numPr>
        <w:ilvl w:val="3"/>
        <w:numId w:val="2"/>
      </w:numPr>
    </w:pPr>
    <w:rPr>
      <w:rFonts w:eastAsia="Times New Roman" w:cs="Times New Roman"/>
      <w:lang w:val="en-GB" w:eastAsia="fr-BE"/>
    </w:rPr>
  </w:style>
  <w:style w:type="paragraph" w:customStyle="1" w:styleId="AMLevel5">
    <w:name w:val="A&amp;M Level 5"/>
    <w:uiPriority w:val="9"/>
    <w:qFormat/>
    <w:rsid w:val="001C7FCB"/>
    <w:pPr>
      <w:numPr>
        <w:ilvl w:val="4"/>
        <w:numId w:val="2"/>
      </w:numPr>
    </w:pPr>
    <w:rPr>
      <w:rFonts w:eastAsia="Times New Roman" w:cs="Times New Roman"/>
      <w:lang w:val="en-GB" w:eastAsia="fr-BE"/>
    </w:rPr>
  </w:style>
  <w:style w:type="paragraph" w:customStyle="1" w:styleId="AMLevel6">
    <w:name w:val="A&amp;M Level 6"/>
    <w:uiPriority w:val="9"/>
    <w:qFormat/>
    <w:rsid w:val="001C7FCB"/>
    <w:pPr>
      <w:numPr>
        <w:ilvl w:val="5"/>
        <w:numId w:val="2"/>
      </w:numPr>
    </w:pPr>
    <w:rPr>
      <w:rFonts w:eastAsia="Times New Roman" w:cs="Arial"/>
      <w:lang w:val="en-GB" w:eastAsia="fr-BE"/>
    </w:rPr>
  </w:style>
  <w:style w:type="paragraph" w:customStyle="1" w:styleId="AMLevel7">
    <w:name w:val="A&amp;M Level 7"/>
    <w:uiPriority w:val="9"/>
    <w:qFormat/>
    <w:rsid w:val="001C7FCB"/>
    <w:pPr>
      <w:numPr>
        <w:ilvl w:val="6"/>
        <w:numId w:val="2"/>
      </w:numPr>
    </w:pPr>
    <w:rPr>
      <w:rFonts w:eastAsia="Times New Roman" w:cs="Times New Roman"/>
      <w:lang w:val="en-GB" w:eastAsia="fr-BE"/>
    </w:rPr>
  </w:style>
  <w:style w:type="paragraph" w:customStyle="1" w:styleId="AMNormal">
    <w:name w:val="A&amp;M Normal"/>
    <w:qFormat/>
    <w:rsid w:val="001C7FCB"/>
    <w:rPr>
      <w:rFonts w:eastAsia="Times New Roman" w:cs="Times New Roman"/>
      <w:bCs/>
      <w:lang w:val="en-GB" w:eastAsia="fr-BE"/>
    </w:rPr>
  </w:style>
  <w:style w:type="paragraph" w:customStyle="1" w:styleId="AMNormalIndent1">
    <w:name w:val="A&amp;M Normal Indent 1"/>
    <w:qFormat/>
    <w:rsid w:val="001C7FCB"/>
    <w:pPr>
      <w:ind w:left="851"/>
    </w:pPr>
    <w:rPr>
      <w:rFonts w:eastAsia="Times New Roman" w:cs="Times New Roman"/>
      <w:lang w:val="en-GB" w:eastAsia="fr-BE"/>
    </w:rPr>
  </w:style>
  <w:style w:type="paragraph" w:customStyle="1" w:styleId="AMNormalIndent2">
    <w:name w:val="A&amp;M Normal Indent 2"/>
    <w:qFormat/>
    <w:rsid w:val="001C7FCB"/>
    <w:pPr>
      <w:ind w:left="851"/>
    </w:pPr>
    <w:rPr>
      <w:rFonts w:eastAsia="Times New Roman" w:cs="Times New Roman"/>
      <w:lang w:val="en-GB" w:eastAsia="fr-BE"/>
    </w:rPr>
  </w:style>
  <w:style w:type="paragraph" w:customStyle="1" w:styleId="AMNormalIndent3">
    <w:name w:val="A&amp;M Normal Indent 3"/>
    <w:qFormat/>
    <w:rsid w:val="001C7FCB"/>
    <w:pPr>
      <w:ind w:left="1729"/>
    </w:pPr>
    <w:rPr>
      <w:rFonts w:eastAsia="Times New Roman" w:cs="Times New Roman"/>
      <w:lang w:val="en-GB" w:eastAsia="fr-BE"/>
    </w:rPr>
  </w:style>
  <w:style w:type="paragraph" w:customStyle="1" w:styleId="AMNormalIndent4">
    <w:name w:val="A&amp;M Normal Indent 4"/>
    <w:qFormat/>
    <w:rsid w:val="001C7FCB"/>
    <w:pPr>
      <w:ind w:left="2495"/>
    </w:pPr>
    <w:rPr>
      <w:rFonts w:eastAsia="Times New Roman" w:cs="Times New Roman"/>
      <w:lang w:val="en-GB" w:eastAsia="fr-BE"/>
    </w:rPr>
  </w:style>
  <w:style w:type="paragraph" w:customStyle="1" w:styleId="AMNormalIndent5">
    <w:name w:val="A&amp;M Normal Indent 5"/>
    <w:qFormat/>
    <w:rsid w:val="001C7FCB"/>
    <w:pPr>
      <w:ind w:left="3345"/>
    </w:pPr>
    <w:rPr>
      <w:rFonts w:eastAsia="Times New Roman" w:cs="Times New Roman"/>
      <w:lang w:val="en-GB" w:eastAsia="fr-BE"/>
    </w:rPr>
  </w:style>
  <w:style w:type="paragraph" w:customStyle="1" w:styleId="AMNormalIndent6">
    <w:name w:val="A&amp;M Normal Indent 6"/>
    <w:qFormat/>
    <w:rsid w:val="001C7FCB"/>
    <w:pPr>
      <w:ind w:left="4196"/>
    </w:pPr>
    <w:rPr>
      <w:rFonts w:eastAsia="Times New Roman" w:cs="Times New Roman"/>
      <w:lang w:val="en-GB" w:eastAsia="fr-BE"/>
    </w:rPr>
  </w:style>
  <w:style w:type="table" w:styleId="TableGrid">
    <w:name w:val="Table Grid"/>
    <w:basedOn w:val="TableNormal"/>
    <w:uiPriority w:val="39"/>
    <w:rsid w:val="00824AE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86B"/>
    <w:pPr>
      <w:spacing w:before="0" w:after="200" w:line="276" w:lineRule="auto"/>
      <w:ind w:left="720"/>
      <w:contextualSpacing/>
      <w:jc w:val="left"/>
    </w:pPr>
    <w:rPr>
      <w:rFonts w:asciiTheme="minorHAnsi" w:hAnsiTheme="minorHAnsi"/>
      <w:sz w:val="22"/>
      <w:szCs w:val="22"/>
      <w:lang w:val="en-US"/>
    </w:rPr>
  </w:style>
  <w:style w:type="character" w:styleId="CommentReference">
    <w:name w:val="annotation reference"/>
    <w:basedOn w:val="DefaultParagraphFont"/>
    <w:uiPriority w:val="99"/>
    <w:semiHidden/>
    <w:unhideWhenUsed/>
    <w:rsid w:val="004B650E"/>
    <w:rPr>
      <w:sz w:val="16"/>
      <w:szCs w:val="16"/>
    </w:rPr>
  </w:style>
  <w:style w:type="paragraph" w:styleId="CommentText">
    <w:name w:val="annotation text"/>
    <w:basedOn w:val="Normal"/>
    <w:link w:val="CommentTextChar"/>
    <w:uiPriority w:val="99"/>
    <w:semiHidden/>
    <w:unhideWhenUsed/>
    <w:rsid w:val="004B650E"/>
    <w:pPr>
      <w:spacing w:line="240" w:lineRule="auto"/>
    </w:pPr>
  </w:style>
  <w:style w:type="character" w:customStyle="1" w:styleId="CommentTextChar">
    <w:name w:val="Comment Text Char"/>
    <w:basedOn w:val="DefaultParagraphFont"/>
    <w:link w:val="CommentText"/>
    <w:uiPriority w:val="99"/>
    <w:semiHidden/>
    <w:rsid w:val="004B650E"/>
    <w:rPr>
      <w:lang w:val="fr-LU"/>
    </w:rPr>
  </w:style>
  <w:style w:type="paragraph" w:styleId="CommentSubject">
    <w:name w:val="annotation subject"/>
    <w:basedOn w:val="CommentText"/>
    <w:next w:val="CommentText"/>
    <w:link w:val="CommentSubjectChar"/>
    <w:uiPriority w:val="99"/>
    <w:semiHidden/>
    <w:unhideWhenUsed/>
    <w:rsid w:val="004B650E"/>
    <w:rPr>
      <w:b/>
      <w:bCs/>
    </w:rPr>
  </w:style>
  <w:style w:type="character" w:customStyle="1" w:styleId="CommentSubjectChar">
    <w:name w:val="Comment Subject Char"/>
    <w:basedOn w:val="CommentTextChar"/>
    <w:link w:val="CommentSubject"/>
    <w:uiPriority w:val="99"/>
    <w:semiHidden/>
    <w:rsid w:val="004B650E"/>
    <w:rPr>
      <w:b/>
      <w:bCs/>
      <w:lang w:val="fr-LU"/>
    </w:rPr>
  </w:style>
  <w:style w:type="paragraph" w:customStyle="1" w:styleId="TableParagraph">
    <w:name w:val="Table Paragraph"/>
    <w:basedOn w:val="Normal"/>
    <w:uiPriority w:val="1"/>
    <w:qFormat/>
    <w:rsid w:val="00886956"/>
    <w:pPr>
      <w:widowControl w:val="0"/>
      <w:autoSpaceDE w:val="0"/>
      <w:autoSpaceDN w:val="0"/>
      <w:spacing w:before="0" w:after="0" w:line="240" w:lineRule="auto"/>
      <w:jc w:val="left"/>
    </w:pPr>
    <w:rPr>
      <w:rFonts w:ascii="Calibri" w:eastAsia="Calibri" w:hAnsi="Calibri" w:cs="Calibri"/>
      <w:sz w:val="22"/>
      <w:szCs w:val="22"/>
      <w:lang w:val="fr-FR"/>
    </w:rPr>
  </w:style>
  <w:style w:type="paragraph" w:customStyle="1" w:styleId="Default">
    <w:name w:val="Default"/>
    <w:rsid w:val="00EA0F49"/>
    <w:pPr>
      <w:autoSpaceDE w:val="0"/>
      <w:autoSpaceDN w:val="0"/>
      <w:adjustRightInd w:val="0"/>
      <w:spacing w:before="0" w:after="0" w:line="240" w:lineRule="auto"/>
      <w:jc w:val="left"/>
    </w:pPr>
    <w:rPr>
      <w:rFonts w:ascii="Calibri" w:hAnsi="Calibri" w:eastAsiaTheme="minorEastAsia" w:cs="Calibri"/>
      <w:color w:val="000000"/>
      <w:sz w:val="24"/>
      <w:szCs w:val="24"/>
      <w:lang w:val="fr-FR" w:eastAsia="zh-CN"/>
    </w:rPr>
  </w:style>
  <w:style w:type="character" w:styleId="Strong">
    <w:name w:val="Strong"/>
    <w:basedOn w:val="DefaultParagraphFont"/>
    <w:uiPriority w:val="22"/>
    <w:qFormat/>
    <w:rsid w:val="00101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microsoft.com/office/2007/relationships/diagramDrawing" Target="diagrams/drawing1.xml" /><Relationship Id="rId2" Type="http://schemas.openxmlformats.org/officeDocument/2006/relationships/webSettings" Target="webSettings.xml" /><Relationship Id="rId20" Type="http://schemas.openxmlformats.org/officeDocument/2006/relationships/diagramData" Target="diagrams/data1.xml" /><Relationship Id="rId21" Type="http://schemas.openxmlformats.org/officeDocument/2006/relationships/diagramLayout" Target="diagrams/layout1.xml" /><Relationship Id="rId22" Type="http://schemas.openxmlformats.org/officeDocument/2006/relationships/diagramQuickStyle" Target="diagrams/quickStyle1.xml" /><Relationship Id="rId23" Type="http://schemas.openxmlformats.org/officeDocument/2006/relationships/diagramColors" Target="diagrams/colors1.xml" /><Relationship Id="rId24" Type="http://schemas.openxmlformats.org/officeDocument/2006/relationships/image" Target="media/image9.png" /><Relationship Id="rId25" Type="http://schemas.openxmlformats.org/officeDocument/2006/relationships/chart" Target="charts/chart1.xml" /><Relationship Id="rId26" Type="http://schemas.openxmlformats.org/officeDocument/2006/relationships/chart" Target="charts/chart2.xml" /><Relationship Id="rId27" Type="http://schemas.openxmlformats.org/officeDocument/2006/relationships/image" Target="media/image10.png" /><Relationship Id="rId28" Type="http://schemas.openxmlformats.org/officeDocument/2006/relationships/image" Target="media/image11.png" /><Relationship Id="rId29" Type="http://schemas.openxmlformats.org/officeDocument/2006/relationships/image" Target="media/image12.png" /><Relationship Id="rId3" Type="http://schemas.openxmlformats.org/officeDocument/2006/relationships/fontTable" Target="fontTable.xml" /><Relationship Id="rId30" Type="http://schemas.openxmlformats.org/officeDocument/2006/relationships/image" Target="media/image13.png" /><Relationship Id="rId31" Type="http://schemas.openxmlformats.org/officeDocument/2006/relationships/image" Target="media/image14.png" /><Relationship Id="rId32" Type="http://schemas.openxmlformats.org/officeDocument/2006/relationships/image" Target="media/image15.png" /><Relationship Id="rId33" Type="http://schemas.microsoft.com/office/2006/relationships/keyMapCustomizations" Target="customizations.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buClrTx/>
              <a:buSzTx/>
              <a:buFontTx/>
              <a:buNone/>
              <a:defRPr sz="1400" b="0" i="0" u="none" strike="noStrike" kern="1200" spc="0" baseline="0">
                <a:solidFill>
                  <a:sysClr val="windowText" lastClr="000000">
                    <a:lumMod val="65000"/>
                    <a:lumOff val="35000"/>
                  </a:sysClr>
                </a:solidFill>
                <a:latin typeface="+mn-lt"/>
                <a:ea typeface="+mn-ea"/>
                <a:cs typeface="+mn-cs"/>
              </a:defRPr>
            </a:pPr>
            <a:r>
              <a:rPr lang="fr-FR" sz="1000" b="0" i="0" baseline="0">
                <a:effectLst/>
              </a:rPr>
              <a:t>2. Taxonomy-alignment of investments excluding sovereign bonds*</a:t>
            </a:r>
            <a:endParaRPr lang="fr-FR" sz="1000">
              <a:effectLst/>
            </a:endParaRPr>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buClrTx/>
            <a:buSzTx/>
            <a:buFontTx/>
            <a:buNone/>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pieChart>
        <c:varyColors val="1"/>
        <c:ser>
          <c:idx val="0"/>
          <c:order val="0"/>
          <c:tx>
            <c:v>Sales</c:v>
          </c:tx>
          <c:spPr>
            <a:solidFill>
              <a:schemeClr val="tx1">
                <a:lumMod val="50000"/>
                <a:lumOff val="50000"/>
              </a:schemeClr>
            </a:solidFill>
          </c:spPr>
          <c:dPt>
            <c:idx val="0"/>
            <c:bubble3D val="0"/>
            <c:spPr>
              <a:solidFill>
                <a:schemeClr val="accent6"/>
              </a:solidFill>
              <a:ln w="19050">
                <a:solidFill>
                  <a:schemeClr val="lt1"/>
                </a:solidFill>
              </a:ln>
              <a:effectLst/>
            </c:spPr>
            <c:extLst>
              <c:ext xmlns:c16="http://schemas.microsoft.com/office/drawing/2014/chart" uri="{C3380CC4-5D6E-409C-BE32-E72D297353CC}">
                <c16:uniqueId val="{00000001-CE6F-484F-A9BD-0B081447956E}"/>
              </c:ext>
            </c:extLst>
          </c:dPt>
          <c:dPt>
            <c:idx val="1"/>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3-CE6F-484F-A9BD-0B081447956E}"/>
              </c:ext>
            </c:extLst>
          </c:dPt>
          <c:dLbls>
            <c:dLbl>
              <c:idx val="0"/>
              <c:tx>
                <c:rich>
                  <a:bodyPr/>
                  <a:lstStyle/>
                  <a:p>
                    <a:fld id="{e4927229-a56f-41fd-a238-7fac5bc163ed}" type="PERCENTAGE">
                      <a:rPr lang="en-US"/>
                      <a:t>[PERCENTAGE]</a:t>
                    </a:fld>
                    <a:endParaRPr lang="fr-F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6F-484F-A9BD-0B081447956E}"/>
                </c:ext>
              </c:extLst>
            </c:dLbl>
            <c:dLbl>
              <c:idx val="1"/>
              <c:tx>
                <c:rich>
                  <a:bodyPr/>
                  <a:lstStyle/>
                  <a:p>
                    <a:fld id="{5aa91421-c555-4acb-8d96-6cf6a49f39e9}" type="PERCENTAGE">
                      <a:rPr lang="en-US"/>
                      <a:t>[PERCENTAGE]</a:t>
                    </a:fld>
                    <a:endParaRPr lang="fr-F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E6F-484F-A9BD-0B08144795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Other-investments</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CE6F-484F-A9BD-0B081447956E}"/>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buClrTx/>
              <a:buSzTx/>
              <a:buFontTx/>
              <a:buNone/>
              <a:defRPr sz="1400" b="0" i="0" u="none" strike="noStrike" kern="1200" spc="0" baseline="0">
                <a:solidFill>
                  <a:sysClr val="windowText" lastClr="000000">
                    <a:lumMod val="65000"/>
                    <a:lumOff val="35000"/>
                  </a:sysClr>
                </a:solidFill>
                <a:latin typeface="+mn-lt"/>
                <a:ea typeface="+mn-ea"/>
                <a:cs typeface="+mn-cs"/>
              </a:defRPr>
            </a:pPr>
            <a:r>
              <a:rPr lang="fr-FR" sz="1000" b="0" i="0" baseline="0">
                <a:effectLst/>
              </a:rPr>
              <a:t>1. Taxonomy-alignment of investments including sovereign bonds*</a:t>
            </a:r>
            <a:endParaRPr lang="en-US" sz="1000"/>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buClrTx/>
            <a:buSzTx/>
            <a:buFontTx/>
            <a:buNone/>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pieChart>
        <c:varyColors val="1"/>
        <c:ser>
          <c:idx val="0"/>
          <c:order val="0"/>
          <c:tx>
            <c:v>Sales</c:v>
          </c:tx>
          <c:spPr>
            <a:solidFill>
              <a:schemeClr val="tx1">
                <a:lumMod val="50000"/>
                <a:lumOff val="50000"/>
              </a:schemeClr>
            </a:solidFill>
          </c:spPr>
          <c:dPt>
            <c:idx val="0"/>
            <c:bubble3D val="0"/>
            <c:spPr>
              <a:solidFill>
                <a:schemeClr val="accent6"/>
              </a:solidFill>
              <a:ln w="19050">
                <a:solidFill>
                  <a:schemeClr val="lt1"/>
                </a:solidFill>
              </a:ln>
              <a:effectLst/>
            </c:spPr>
            <c:extLst>
              <c:ext xmlns:c16="http://schemas.microsoft.com/office/drawing/2014/chart" uri="{C3380CC4-5D6E-409C-BE32-E72D297353CC}">
                <c16:uniqueId val="{00000001-0D43-4873-91F0-6FB8C8A9D323}"/>
              </c:ext>
            </c:extLst>
          </c:dPt>
          <c:dPt>
            <c:idx val="1"/>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3-0D43-4873-91F0-6FB8C8A9D323}"/>
              </c:ext>
            </c:extLst>
          </c:dPt>
          <c:dLbls>
            <c:dLbl>
              <c:idx val="0"/>
              <c:tx>
                <c:rich>
                  <a:bodyPr/>
                  <a:lstStyle/>
                  <a:p>
                    <a:fld id="{e4927229-a56f-41fd-a238-7fac5bc163ed}" type="PERCENTAGE">
                      <a:rPr lang="en-US"/>
                      <a:t>[PERCENTAGE]</a:t>
                    </a:fld>
                    <a:endParaRPr lang="fr-F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D43-4873-91F0-6FB8C8A9D323}"/>
                </c:ext>
              </c:extLst>
            </c:dLbl>
            <c:dLbl>
              <c:idx val="1"/>
              <c:tx>
                <c:rich>
                  <a:bodyPr/>
                  <a:lstStyle/>
                  <a:p>
                    <a:fld id="{5aa91421-c555-4acb-8d96-6cf6a49f39e9}" type="PERCENTAGE">
                      <a:rPr lang="en-US"/>
                      <a:t>[PERCENTAGE]</a:t>
                    </a:fld>
                    <a:endParaRPr lang="fr-F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D43-4873-91F0-6FB8C8A9D32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bestFit"/>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Other-investments</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4-0D43-4873-91F0-6FB8C8A9D323}"/>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fr-F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829200-84F9-4AA4-B4E6-FEA588CB8C51}"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78652100-CCEF-4CBA-B854-9980801401EF}">
      <dgm:prSet phldrT="[Text]" custT="1"/>
      <dgm:spPr>
        <a:solidFill>
          <a:srgbClr val="D9D9D9"/>
        </a:solidFill>
      </dgm:spPr>
      <dgm:t>
        <a:bodyPr/>
        <a:lstStyle/>
        <a:p>
          <a:r>
            <a:rPr lang="en-US" sz="1000">
              <a:solidFill>
                <a:sysClr val="windowText" lastClr="000000"/>
              </a:solidFill>
            </a:rPr>
            <a:t>Investments</a:t>
          </a:r>
        </a:p>
      </dgm:t>
    </dgm:pt>
    <dgm:pt modelId="{8096D2E6-72A4-49D8-AD06-C98DEB4507D6}" type="parTrans" cxnId="{1837AB62-FC82-4168-91EB-6CBE9C741A2B}">
      <dgm:prSet/>
      <dgm:spPr/>
      <dgm:t>
        <a:bodyPr/>
        <a:lstStyle/>
        <a:p>
          <a:endParaRPr lang="en-US"/>
        </a:p>
      </dgm:t>
    </dgm:pt>
    <dgm:pt modelId="{5374EF0A-C3FD-42C3-B464-8C83FDAF124F}" type="sibTrans" cxnId="{1837AB62-FC82-4168-91EB-6CBE9C741A2B}">
      <dgm:prSet/>
      <dgm:spPr/>
      <dgm:t>
        <a:bodyPr/>
        <a:lstStyle/>
        <a:p>
          <a:endParaRPr lang="en-US"/>
        </a:p>
      </dgm:t>
    </dgm:pt>
    <dgm:pt modelId="{8FFC22E9-23BF-4A67-9210-7F18ECE679D5}">
      <dgm:prSet phldrT="[Text]"/>
      <dgm:spPr>
        <a:solidFill>
          <a:srgbClr val="009900"/>
        </a:solidFill>
      </dgm:spPr>
      <dgm:t>
        <a:bodyPr/>
        <a:lstStyle/>
        <a:p>
          <a:r>
            <a:rPr lang="en-US">
              <a:solidFill>
                <a:sysClr val="windowText" lastClr="000000"/>
              </a:solidFill>
            </a:rPr>
            <a:t>#1 Aligned with </a:t>
          </a:r>
        </a:p>
        <a:p>
          <a:r>
            <a:rPr lang="en-US">
              <a:solidFill>
                <a:sysClr val="windowText" lastClr="000000"/>
              </a:solidFill>
            </a:rPr>
            <a:t>E/S characteristics</a:t>
          </a:r>
        </a:p>
        <a:p>
          <a:endParaRPr lang="fr-FR"/>
        </a:p>
      </dgm:t>
    </dgm:pt>
    <dgm:pt modelId="{91361CDB-03AA-4A63-8E89-138142BC72E8}" type="parTrans" cxnId="{6A6002FC-A6CA-42F7-9C25-E54DC450E27C}">
      <dgm:prSet>
        <dgm:style>
          <a:lnRef idx="1">
            <a:schemeClr val="accent3"/>
          </a:lnRef>
          <a:fillRef idx="0">
            <a:schemeClr val="accent3"/>
          </a:fillRef>
          <a:effectRef idx="0">
            <a:schemeClr val="accent3"/>
          </a:effectRef>
          <a:fontRef idx="minor">
            <a:schemeClr val="tx1"/>
          </a:fontRef>
        </dgm:style>
      </dgm:prSet>
      <dgm:spPr/>
      <dgm:t>
        <a:bodyPr/>
        <a:lstStyle/>
        <a:p>
          <a:endParaRPr lang="en-US"/>
        </a:p>
      </dgm:t>
    </dgm:pt>
    <dgm:pt modelId="{540F8F9E-2176-48AE-911B-C9157889975D}" type="sibTrans" cxnId="{6A6002FC-A6CA-42F7-9C25-E54DC450E27C}">
      <dgm:prSet/>
      <dgm:spPr/>
      <dgm:t>
        <a:bodyPr/>
        <a:lstStyle/>
        <a:p>
          <a:endParaRPr lang="en-US"/>
        </a:p>
      </dgm:t>
    </dgm:pt>
    <dgm:pt modelId="{D053D655-328A-49D5-B307-FE4325A1271F}">
      <dgm:prSet/>
      <dgm:spPr>
        <a:solidFill>
          <a:srgbClr val="D9D9D9"/>
        </a:solidFill>
      </dgm:spPr>
      <dgm:t>
        <a:bodyPr/>
        <a:lstStyle/>
        <a:p>
          <a:r>
            <a:rPr lang="fr-FR">
              <a:solidFill>
                <a:sysClr val="windowText" lastClr="000000"/>
              </a:solidFill>
            </a:rPr>
            <a:t>#2 Other</a:t>
          </a:r>
        </a:p>
        <a:p>
          <a:endParaRPr lang="fr-FR">
            <a:solidFill>
              <a:sysClr val="windowText" lastClr="000000"/>
            </a:solidFill>
          </a:endParaRPr>
        </a:p>
      </dgm:t>
    </dgm:pt>
    <dgm:pt modelId="{BB001271-E773-435F-83CC-CF9EB8C7123F}" type="parTrans" cxnId="{1D867889-FBA7-476F-9C72-1D791D59D9E0}">
      <dgm:prSet>
        <dgm:style>
          <a:lnRef idx="1">
            <a:schemeClr val="accent3"/>
          </a:lnRef>
          <a:fillRef idx="0">
            <a:schemeClr val="accent3"/>
          </a:fillRef>
          <a:effectRef idx="0">
            <a:schemeClr val="accent3"/>
          </a:effectRef>
          <a:fontRef idx="minor">
            <a:schemeClr val="tx1"/>
          </a:fontRef>
        </dgm:style>
      </dgm:prSet>
      <dgm:spPr/>
      <dgm:t>
        <a:bodyPr/>
        <a:lstStyle/>
        <a:p>
          <a:endParaRPr lang="en-US"/>
        </a:p>
      </dgm:t>
    </dgm:pt>
    <dgm:pt modelId="{DE5165B8-0D94-410B-B3A6-9FF180EFA834}" type="sibTrans" cxnId="{1D867889-FBA7-476F-9C72-1D791D59D9E0}">
      <dgm:prSet/>
      <dgm:spPr/>
      <dgm:t>
        <a:bodyPr/>
        <a:lstStyle/>
        <a:p>
          <a:endParaRPr lang="en-US"/>
        </a:p>
      </dgm:t>
    </dgm:pt>
    <dgm:pt modelId="{C2D97D29-6259-4744-85B9-EAD05A679309}">
      <dgm:prSet/>
      <dgm:spPr>
        <a:solidFill>
          <a:srgbClr val="25563A"/>
        </a:solidFill>
      </dgm:spPr>
      <dgm:t>
        <a:bodyPr/>
        <a:lstStyle/>
        <a:p>
          <a:r>
            <a:rPr lang="en-US">
              <a:solidFill>
                <a:schemeClr val="bg1"/>
              </a:solidFill>
            </a:rPr>
            <a:t>#1A Sustainable</a:t>
          </a:r>
        </a:p>
        <a:p>
          <a:endParaRPr lang="en-US">
            <a:solidFill>
              <a:schemeClr val="bg1"/>
            </a:solidFill>
          </a:endParaRPr>
        </a:p>
      </dgm:t>
    </dgm:pt>
    <dgm:pt modelId="{CF25F48D-902F-47CB-B20F-940166BADBD4}" type="parTrans" cxnId="{E612BBCC-B18C-41F7-A2DD-2A3D45AB20DE}">
      <dgm:prSet>
        <dgm:style>
          <a:lnRef idx="1">
            <a:schemeClr val="accent3"/>
          </a:lnRef>
          <a:fillRef idx="0">
            <a:schemeClr val="accent3"/>
          </a:fillRef>
          <a:effectRef idx="0">
            <a:schemeClr val="accent3"/>
          </a:effectRef>
          <a:fontRef idx="minor">
            <a:schemeClr val="tx1"/>
          </a:fontRef>
        </dgm:style>
      </dgm:prSet>
      <dgm:spPr/>
      <dgm:t>
        <a:bodyPr/>
        <a:lstStyle/>
        <a:p>
          <a:endParaRPr lang="en-US"/>
        </a:p>
      </dgm:t>
    </dgm:pt>
    <dgm:pt modelId="{E3348E02-843C-48E3-9513-C1309AB480FB}" type="sibTrans" cxnId="{E612BBCC-B18C-41F7-A2DD-2A3D45AB20DE}">
      <dgm:prSet/>
      <dgm:spPr/>
      <dgm:t>
        <a:bodyPr/>
        <a:lstStyle/>
        <a:p>
          <a:endParaRPr lang="en-US"/>
        </a:p>
      </dgm:t>
    </dgm:pt>
    <dgm:pt modelId="{94BE6645-20D6-4D58-8CAB-A83DEA73240C}">
      <dgm:prSet/>
      <dgm:spPr>
        <a:solidFill>
          <a:srgbClr val="008000"/>
        </a:solidFill>
      </dgm:spPr>
      <dgm:t>
        <a:bodyPr/>
        <a:lstStyle/>
        <a:p>
          <a:r>
            <a:rPr lang="en-US">
              <a:solidFill>
                <a:sysClr val="windowText" lastClr="000000"/>
              </a:solidFill>
            </a:rPr>
            <a:t>Other environmental</a:t>
          </a:r>
        </a:p>
        <a:p>
          <a:endParaRPr lang="en-US">
            <a:solidFill>
              <a:sysClr val="windowText" lastClr="000000"/>
            </a:solidFill>
          </a:endParaRPr>
        </a:p>
      </dgm:t>
    </dgm:pt>
    <dgm:pt modelId="{4160F290-16CD-41B2-A8BD-5404DC07FB48}" type="parTrans" cxnId="{8F934E0E-B004-450A-B02F-7E1CC5C15AA0}">
      <dgm:prSet>
        <dgm:style>
          <a:lnRef idx="1">
            <a:schemeClr val="accent3"/>
          </a:lnRef>
          <a:fillRef idx="0">
            <a:schemeClr val="accent3"/>
          </a:fillRef>
          <a:effectRef idx="0">
            <a:schemeClr val="accent3"/>
          </a:effectRef>
          <a:fontRef idx="minor">
            <a:schemeClr val="tx1"/>
          </a:fontRef>
        </dgm:style>
      </dgm:prSet>
      <dgm:spPr/>
      <dgm:t>
        <a:bodyPr/>
        <a:lstStyle/>
        <a:p>
          <a:endParaRPr lang="en-US"/>
        </a:p>
      </dgm:t>
    </dgm:pt>
    <dgm:pt modelId="{C394A7CF-CAF9-4D27-9EA4-B986F94EF33E}" type="sibTrans" cxnId="{8F934E0E-B004-450A-B02F-7E1CC5C15AA0}">
      <dgm:prSet/>
      <dgm:spPr/>
      <dgm:t>
        <a:bodyPr/>
        <a:lstStyle/>
        <a:p>
          <a:endParaRPr lang="en-US"/>
        </a:p>
      </dgm:t>
    </dgm:pt>
    <dgm:pt modelId="{64860C0B-B667-4CAF-9CC9-02516089EF04}">
      <dgm:prSet/>
      <dgm:spPr>
        <a:solidFill>
          <a:srgbClr val="C5E0B4"/>
        </a:solidFill>
      </dgm:spPr>
      <dgm:t>
        <a:bodyPr/>
        <a:lstStyle/>
        <a:p>
          <a:r>
            <a:rPr lang="en-US">
              <a:solidFill>
                <a:sysClr val="windowText" lastClr="000000"/>
              </a:solidFill>
            </a:rPr>
            <a:t>#1B Other E/S characteristics</a:t>
          </a:r>
        </a:p>
        <a:p>
          <a:endParaRPr lang="en-US">
            <a:solidFill>
              <a:sysClr val="windowText" lastClr="000000"/>
            </a:solidFill>
          </a:endParaRPr>
        </a:p>
      </dgm:t>
    </dgm:pt>
    <dgm:pt modelId="{6034735C-BE5A-49C0-ACBC-5C19CA0DEAF9}" type="sibTrans" cxnId="{71BA8D4C-825F-4FAC-870F-BA8C5E961E96}">
      <dgm:prSet/>
      <dgm:spPr/>
      <dgm:t>
        <a:bodyPr/>
        <a:lstStyle/>
        <a:p>
          <a:endParaRPr lang="en-US"/>
        </a:p>
      </dgm:t>
    </dgm:pt>
    <dgm:pt modelId="{3194E518-CBBF-4014-A46C-2BCEB6F380CD}" type="parTrans" cxnId="{71BA8D4C-825F-4FAC-870F-BA8C5E961E96}">
      <dgm:prSet>
        <dgm:style>
          <a:lnRef idx="1">
            <a:schemeClr val="accent3"/>
          </a:lnRef>
          <a:fillRef idx="0">
            <a:schemeClr val="accent3"/>
          </a:fillRef>
          <a:effectRef idx="0">
            <a:schemeClr val="accent3"/>
          </a:effectRef>
          <a:fontRef idx="minor">
            <a:schemeClr val="tx1"/>
          </a:fontRef>
        </dgm:style>
      </dgm:prSet>
      <dgm:spPr/>
      <dgm:t>
        <a:bodyPr/>
        <a:lstStyle/>
        <a:p>
          <a:endParaRPr lang="en-US"/>
        </a:p>
      </dgm:t>
    </dgm:pt>
    <dgm:pt modelId="{4350D639-6341-4059-ACF8-24C563981333}">
      <dgm:prSet/>
      <dgm:spPr>
        <a:solidFill>
          <a:srgbClr val="002F00"/>
        </a:solidFill>
      </dgm:spPr>
      <dgm:t>
        <a:bodyPr/>
        <a:lstStyle/>
        <a:p>
          <a:r>
            <a:rPr lang="en-US"/>
            <a:t>Taxonomy-aligned</a:t>
          </a:r>
        </a:p>
        <a:p>
          <a:endParaRPr lang="en-US"/>
        </a:p>
      </dgm:t>
    </dgm:pt>
    <dgm:pt modelId="{F8E9AB31-BA28-44F1-AE2D-E6099C6A71B2}" type="parTrans" cxnId="{30ADD6D7-47D6-4180-9E19-169442C33E2D}">
      <dgm:prSet>
        <dgm:style>
          <a:lnRef idx="1">
            <a:schemeClr val="accent3"/>
          </a:lnRef>
          <a:fillRef idx="0">
            <a:schemeClr val="accent3"/>
          </a:fillRef>
          <a:effectRef idx="0">
            <a:schemeClr val="accent3"/>
          </a:effectRef>
          <a:fontRef idx="minor">
            <a:schemeClr val="tx1"/>
          </a:fontRef>
        </dgm:style>
      </dgm:prSet>
      <dgm:spPr/>
      <dgm:t>
        <a:bodyPr/>
        <a:lstStyle/>
        <a:p>
          <a:endParaRPr lang="en-US"/>
        </a:p>
      </dgm:t>
    </dgm:pt>
    <dgm:pt modelId="{96758A87-984D-4164-96E8-156A92350F5A}" type="sibTrans" cxnId="{30ADD6D7-47D6-4180-9E19-169442C33E2D}">
      <dgm:prSet/>
      <dgm:spPr/>
      <dgm:t>
        <a:bodyPr/>
        <a:lstStyle/>
        <a:p>
          <a:endParaRPr lang="en-US"/>
        </a:p>
      </dgm:t>
    </dgm:pt>
    <dgm:pt modelId="{FC74688D-5300-4B55-87F7-00A5F86C80F1}">
      <dgm:prSet/>
      <dgm:spPr/>
      <dgm:t>
        <a:bodyPr/>
        <a:lstStyle/>
        <a:p>
          <a:r>
            <a:rPr lang="en-US">
              <a:solidFill>
                <a:sysClr val="windowText" lastClr="000000"/>
              </a:solidFill>
            </a:rPr>
            <a:t>Social</a:t>
          </a:r>
        </a:p>
        <a:p>
          <a:endParaRPr lang="en-US">
            <a:solidFill>
              <a:sysClr val="windowText" lastClr="000000"/>
            </a:solidFill>
          </a:endParaRPr>
        </a:p>
      </dgm:t>
    </dgm:pt>
    <dgm:pt modelId="{64F0E163-875A-4B83-A459-D1675D0813DB}" type="parTrans" cxnId="{A6EA6658-2732-4F65-B16E-98D5CDFA4F38}">
      <dgm:prSet>
        <dgm:style>
          <a:lnRef idx="1">
            <a:schemeClr val="accent3"/>
          </a:lnRef>
          <a:fillRef idx="0">
            <a:schemeClr val="accent3"/>
          </a:fillRef>
          <a:effectRef idx="0">
            <a:schemeClr val="accent3"/>
          </a:effectRef>
          <a:fontRef idx="minor">
            <a:schemeClr val="tx1"/>
          </a:fontRef>
        </dgm:style>
      </dgm:prSet>
      <dgm:spPr/>
      <dgm:t>
        <a:bodyPr/>
        <a:lstStyle/>
        <a:p>
          <a:endParaRPr lang="en-US"/>
        </a:p>
      </dgm:t>
    </dgm:pt>
    <dgm:pt modelId="{F5B52AA8-1BCF-4572-A872-7887302E0B73}" type="sibTrans" cxnId="{A6EA6658-2732-4F65-B16E-98D5CDFA4F38}">
      <dgm:prSet/>
      <dgm:spPr/>
      <dgm:t>
        <a:bodyPr/>
        <a:lstStyle/>
        <a:p>
          <a:endParaRPr lang="en-US"/>
        </a:p>
      </dgm:t>
    </dgm:pt>
    <dgm:pt modelId="{51D593AF-19C8-49A4-8FA9-EAB99D2149A8}" type="pres">
      <dgm:prSet presAssocID="{52829200-84F9-4AA4-B4E6-FEA588CB8C51}" presName="Name0" presStyleCnt="0">
        <dgm:presLayoutVars>
          <dgm:chPref val="1"/>
          <dgm:dir val="norm"/>
          <dgm:animOne val="branch"/>
          <dgm:animLvl val="lvl"/>
          <dgm:resizeHandles val="exact"/>
        </dgm:presLayoutVars>
      </dgm:prSet>
      <dgm:spPr/>
      <dgm:t>
        <a:bodyPr/>
        <a:lstStyle/>
        <a:p>
          <a:endParaRPr lang="en-US"/>
        </a:p>
      </dgm:t>
    </dgm:pt>
    <dgm:pt modelId="{31ACA5A7-4C34-4FF5-81AE-C5C4973DACD9}" type="pres">
      <dgm:prSet presAssocID="{78652100-CCEF-4CBA-B854-9980801401EF}" presName="root1" presStyleCnt="0"/>
      <dgm:spPr/>
    </dgm:pt>
    <dgm:pt modelId="{BA8CD2A3-AF9A-4621-8A05-D52163C641BF}" type="pres">
      <dgm:prSet presAssocID="{78652100-CCEF-4CBA-B854-9980801401EF}" presName="LevelOneTextNode" presStyleLbl="node0" presStyleIdx="0" presStyleCnt="1" custAng="5400000" custScaleY="45482" custLinFactNeighborX="-35155" custLinFactNeighborY="-9389">
        <dgm:presLayoutVars>
          <dgm:chPref val="3"/>
        </dgm:presLayoutVars>
      </dgm:prSet>
      <dgm:spPr/>
      <dgm:t>
        <a:bodyPr/>
        <a:lstStyle/>
        <a:p>
          <a:endParaRPr lang="en-US"/>
        </a:p>
      </dgm:t>
    </dgm:pt>
    <dgm:pt modelId="{6B014040-612B-4AE1-8E19-7D3F1FA196BD}" type="pres">
      <dgm:prSet presAssocID="{78652100-CCEF-4CBA-B854-9980801401EF}" presName="level2hierChild" presStyleCnt="0"/>
      <dgm:spPr/>
    </dgm:pt>
    <dgm:pt modelId="{08C08379-BEF6-4B7C-963F-8B08029B913E}" type="pres">
      <dgm:prSet presAssocID="{91361CDB-03AA-4A63-8E89-138142BC72E8}" presName="conn2-1" presStyleLbl="parChTrans1D2" presStyleIdx="0" presStyleCnt="2"/>
      <dgm:spPr/>
      <dgm:t>
        <a:bodyPr/>
        <a:lstStyle/>
        <a:p>
          <a:endParaRPr lang="en-US"/>
        </a:p>
      </dgm:t>
    </dgm:pt>
    <dgm:pt modelId="{6BADC9B4-EE78-45D1-8555-C248693540BF}" type="pres">
      <dgm:prSet presAssocID="{91361CDB-03AA-4A63-8E89-138142BC72E8}" presName="connTx" presStyleLbl="parChTrans1D2" presStyleIdx="0" presStyleCnt="2"/>
      <dgm:spPr/>
      <dgm:t>
        <a:bodyPr/>
        <a:lstStyle/>
        <a:p>
          <a:endParaRPr lang="en-US"/>
        </a:p>
      </dgm:t>
    </dgm:pt>
    <dgm:pt modelId="{72411657-CED1-4865-BB94-06B868CCF3E6}" type="pres">
      <dgm:prSet presAssocID="{8FFC22E9-23BF-4A67-9210-7F18ECE679D5}" presName="root2" presStyleCnt="0"/>
      <dgm:spPr/>
    </dgm:pt>
    <dgm:pt modelId="{B0CEDBE1-1B9D-4E66-BDEC-9A58120062BC}" type="pres">
      <dgm:prSet presAssocID="{8FFC22E9-23BF-4A67-9210-7F18ECE679D5}" presName="LevelTwoTextNode" presStyleLbl="node2" presStyleIdx="0" presStyleCnt="2" custScaleY="167047" custLinFactNeighborX="5835" custLinFactNeighborY="-75710">
        <dgm:presLayoutVars>
          <dgm:chPref val="3"/>
        </dgm:presLayoutVars>
      </dgm:prSet>
      <dgm:spPr/>
      <dgm:t>
        <a:bodyPr/>
        <a:lstStyle/>
        <a:p>
          <a:endParaRPr lang="en-US"/>
        </a:p>
      </dgm:t>
    </dgm:pt>
    <dgm:pt modelId="{C45138F3-5C80-4DBE-AE31-94EEEB30A92D}" type="pres">
      <dgm:prSet presAssocID="{8FFC22E9-23BF-4A67-9210-7F18ECE679D5}" presName="level3hierChild" presStyleCnt="0"/>
      <dgm:spPr/>
    </dgm:pt>
    <dgm:pt modelId="{AC16D951-31EF-420A-B83F-E2827B7487C8}" type="pres">
      <dgm:prSet presAssocID="{CF25F48D-902F-47CB-B20F-940166BADBD4}" presName="conn2-1" presStyleLbl="parChTrans1D3" presStyleIdx="0" presStyleCnt="2"/>
      <dgm:spPr/>
      <dgm:t>
        <a:bodyPr/>
        <a:lstStyle/>
        <a:p>
          <a:endParaRPr lang="en-US"/>
        </a:p>
      </dgm:t>
    </dgm:pt>
    <dgm:pt modelId="{914E9FCB-FEED-4604-974E-CA195D4E938B}" type="pres">
      <dgm:prSet presAssocID="{CF25F48D-902F-47CB-B20F-940166BADBD4}" presName="connTx" presStyleLbl="parChTrans1D3" presStyleIdx="0" presStyleCnt="2"/>
      <dgm:spPr/>
      <dgm:t>
        <a:bodyPr/>
        <a:lstStyle/>
        <a:p>
          <a:endParaRPr lang="en-US"/>
        </a:p>
      </dgm:t>
    </dgm:pt>
    <dgm:pt modelId="{8E2C87C4-8B8E-4495-800A-8EE1D00500A3}" type="pres">
      <dgm:prSet presAssocID="{C2D97D29-6259-4744-85B9-EAD05A679309}" presName="root2" presStyleCnt="0"/>
      <dgm:spPr/>
    </dgm:pt>
    <dgm:pt modelId="{8B3FEE69-F849-4735-9CE9-B575789B9E5A}" type="pres">
      <dgm:prSet presAssocID="{C2D97D29-6259-4744-85B9-EAD05A679309}" presName="LevelTwoTextNode" presStyleLbl="node3" presStyleIdx="0" presStyleCnt="2" custLinFactY="-30228" custLinFactNeighborX="-2522" custLinFactNeighborY="-100000">
        <dgm:presLayoutVars>
          <dgm:chPref val="3"/>
        </dgm:presLayoutVars>
      </dgm:prSet>
      <dgm:spPr/>
      <dgm:t>
        <a:bodyPr/>
        <a:lstStyle/>
        <a:p>
          <a:endParaRPr lang="en-US"/>
        </a:p>
      </dgm:t>
    </dgm:pt>
    <dgm:pt modelId="{8E4FC086-980D-4964-8F93-F74DF9BA9B07}" type="pres">
      <dgm:prSet presAssocID="{C2D97D29-6259-4744-85B9-EAD05A679309}" presName="level3hierChild" presStyleCnt="0"/>
      <dgm:spPr/>
    </dgm:pt>
    <dgm:pt modelId="{E0B7802F-C97D-41C3-B7D1-E6746BD80388}" type="pres">
      <dgm:prSet presAssocID="{4160F290-16CD-41B2-A8BD-5404DC07FB48}" presName="conn2-1" presStyleLbl="parChTrans1D4" presStyleIdx="0" presStyleCnt="3"/>
      <dgm:spPr/>
      <dgm:t>
        <a:bodyPr/>
        <a:lstStyle/>
        <a:p>
          <a:endParaRPr lang="en-US"/>
        </a:p>
      </dgm:t>
    </dgm:pt>
    <dgm:pt modelId="{87EEBE2F-EE10-422E-9611-C9BBFEA7341A}" type="pres">
      <dgm:prSet presAssocID="{4160F290-16CD-41B2-A8BD-5404DC07FB48}" presName="connTx" presStyleLbl="parChTrans1D4" presStyleIdx="0" presStyleCnt="3"/>
      <dgm:spPr/>
      <dgm:t>
        <a:bodyPr/>
        <a:lstStyle/>
        <a:p>
          <a:endParaRPr lang="en-US"/>
        </a:p>
      </dgm:t>
    </dgm:pt>
    <dgm:pt modelId="{CD79FD01-94FD-4E78-9885-F8F25B5D0117}" type="pres">
      <dgm:prSet presAssocID="{94BE6645-20D6-4D58-8CAB-A83DEA73240C}" presName="root2" presStyleCnt="0"/>
      <dgm:spPr/>
    </dgm:pt>
    <dgm:pt modelId="{4EC2E5BF-C415-4D56-8725-BF87D3AF7199}" type="pres">
      <dgm:prSet presAssocID="{94BE6645-20D6-4D58-8CAB-A83DEA73240C}" presName="LevelTwoTextNode" presStyleLbl="node4" presStyleIdx="0" presStyleCnt="3" custScaleX="98000" custLinFactNeighborX="1462" custLinFactNeighborY="81625">
        <dgm:presLayoutVars>
          <dgm:chPref val="3"/>
        </dgm:presLayoutVars>
      </dgm:prSet>
      <dgm:spPr/>
      <dgm:t>
        <a:bodyPr/>
        <a:lstStyle/>
        <a:p>
          <a:endParaRPr lang="en-US"/>
        </a:p>
      </dgm:t>
    </dgm:pt>
    <dgm:pt modelId="{56A05037-19C1-4CA0-A95C-5E5873EB657B}" type="pres">
      <dgm:prSet presAssocID="{94BE6645-20D6-4D58-8CAB-A83DEA73240C}" presName="level3hierChild" presStyleCnt="0"/>
      <dgm:spPr/>
    </dgm:pt>
    <dgm:pt modelId="{BE2ABB69-C5DA-45B6-A741-2EFC81332011}" type="pres">
      <dgm:prSet presAssocID="{F8E9AB31-BA28-44F1-AE2D-E6099C6A71B2}" presName="conn2-1" presStyleLbl="parChTrans1D4" presStyleIdx="1" presStyleCnt="3"/>
      <dgm:spPr/>
      <dgm:t>
        <a:bodyPr/>
        <a:lstStyle/>
        <a:p>
          <a:endParaRPr lang="en-US"/>
        </a:p>
      </dgm:t>
    </dgm:pt>
    <dgm:pt modelId="{F096A56D-31BB-494C-8297-9C315088C1B9}" type="pres">
      <dgm:prSet presAssocID="{F8E9AB31-BA28-44F1-AE2D-E6099C6A71B2}" presName="connTx" presStyleLbl="parChTrans1D4" presStyleIdx="1" presStyleCnt="3"/>
      <dgm:spPr/>
      <dgm:t>
        <a:bodyPr/>
        <a:lstStyle/>
        <a:p>
          <a:endParaRPr lang="en-US"/>
        </a:p>
      </dgm:t>
    </dgm:pt>
    <dgm:pt modelId="{C7979B8F-5F24-4654-A573-CCBDE46D33D1}" type="pres">
      <dgm:prSet presAssocID="{4350D639-6341-4059-ACF8-24C563981333}" presName="root2" presStyleCnt="0"/>
      <dgm:spPr/>
    </dgm:pt>
    <dgm:pt modelId="{A06CAD0B-C93A-4517-BCF9-C810025D2AD7}" type="pres">
      <dgm:prSet presAssocID="{4350D639-6341-4059-ACF8-24C563981333}" presName="LevelTwoTextNode" presStyleLbl="node4" presStyleIdx="1" presStyleCnt="3" custScaleX="95764" custLinFactY="-100000" custLinFactNeighborX="192" custLinFactNeighborY="-122217">
        <dgm:presLayoutVars>
          <dgm:chPref val="3"/>
        </dgm:presLayoutVars>
      </dgm:prSet>
      <dgm:spPr/>
      <dgm:t>
        <a:bodyPr/>
        <a:lstStyle/>
        <a:p>
          <a:endParaRPr lang="en-US"/>
        </a:p>
      </dgm:t>
    </dgm:pt>
    <dgm:pt modelId="{B09EEA1E-E3D8-47FD-9759-99172E0C3021}" type="pres">
      <dgm:prSet presAssocID="{4350D639-6341-4059-ACF8-24C563981333}" presName="level3hierChild" presStyleCnt="0"/>
      <dgm:spPr/>
    </dgm:pt>
    <dgm:pt modelId="{19895652-2BD8-4F75-A44E-B103EF6DC89C}" type="pres">
      <dgm:prSet presAssocID="{64F0E163-875A-4B83-A459-D1675D0813DB}" presName="conn2-1" presStyleLbl="parChTrans1D4" presStyleIdx="2" presStyleCnt="3"/>
      <dgm:spPr/>
      <dgm:t>
        <a:bodyPr/>
        <a:lstStyle/>
        <a:p>
          <a:endParaRPr lang="en-US"/>
        </a:p>
      </dgm:t>
    </dgm:pt>
    <dgm:pt modelId="{7DD8D2B5-5FD0-4B4A-901E-465F25B2DE48}" type="pres">
      <dgm:prSet presAssocID="{64F0E163-875A-4B83-A459-D1675D0813DB}" presName="connTx" presStyleLbl="parChTrans1D4" presStyleIdx="2" presStyleCnt="3"/>
      <dgm:spPr/>
      <dgm:t>
        <a:bodyPr/>
        <a:lstStyle/>
        <a:p>
          <a:endParaRPr lang="en-US"/>
        </a:p>
      </dgm:t>
    </dgm:pt>
    <dgm:pt modelId="{A99390F9-44EB-4A48-866E-75A2551F5851}" type="pres">
      <dgm:prSet presAssocID="{FC74688D-5300-4B55-87F7-00A5F86C80F1}" presName="root2" presStyleCnt="0"/>
      <dgm:spPr/>
    </dgm:pt>
    <dgm:pt modelId="{7D2E88BD-9A09-413B-87FC-DDB587DDE2BE}" type="pres">
      <dgm:prSet presAssocID="{FC74688D-5300-4B55-87F7-00A5F86C80F1}" presName="LevelTwoTextNode" presStyleLbl="node4" presStyleIdx="2" presStyleCnt="3" custScaleX="96237">
        <dgm:presLayoutVars>
          <dgm:chPref val="3"/>
        </dgm:presLayoutVars>
      </dgm:prSet>
      <dgm:spPr/>
      <dgm:t>
        <a:bodyPr/>
        <a:lstStyle/>
        <a:p>
          <a:endParaRPr lang="en-US"/>
        </a:p>
      </dgm:t>
    </dgm:pt>
    <dgm:pt modelId="{5C645761-A95A-4E6B-8AD8-52B9B6A6C8A8}" type="pres">
      <dgm:prSet presAssocID="{FC74688D-5300-4B55-87F7-00A5F86C80F1}" presName="level3hierChild" presStyleCnt="0"/>
      <dgm:spPr/>
    </dgm:pt>
    <dgm:pt modelId="{0BE5EE39-D4EA-4C79-BDDB-ED85C237AF9E}" type="pres">
      <dgm:prSet presAssocID="{3194E518-CBBF-4014-A46C-2BCEB6F380CD}" presName="conn2-1" presStyleLbl="parChTrans1D3" presStyleIdx="1" presStyleCnt="2"/>
      <dgm:spPr/>
      <dgm:t>
        <a:bodyPr/>
        <a:lstStyle/>
        <a:p>
          <a:endParaRPr lang="en-US"/>
        </a:p>
      </dgm:t>
    </dgm:pt>
    <dgm:pt modelId="{64B151D7-3925-459D-9AB2-959ACFDF431E}" type="pres">
      <dgm:prSet presAssocID="{3194E518-CBBF-4014-A46C-2BCEB6F380CD}" presName="connTx" presStyleLbl="parChTrans1D3" presStyleIdx="1" presStyleCnt="2"/>
      <dgm:spPr/>
      <dgm:t>
        <a:bodyPr/>
        <a:lstStyle/>
        <a:p>
          <a:endParaRPr lang="en-US"/>
        </a:p>
      </dgm:t>
    </dgm:pt>
    <dgm:pt modelId="{C98F61DB-2B49-4A51-98E4-836A834F7DBF}" type="pres">
      <dgm:prSet presAssocID="{64860C0B-B667-4CAF-9CC9-02516089EF04}" presName="root2" presStyleCnt="0"/>
      <dgm:spPr/>
    </dgm:pt>
    <dgm:pt modelId="{D5B95612-E81E-497A-A3D4-484945D089B8}" type="pres">
      <dgm:prSet presAssocID="{64860C0B-B667-4CAF-9CC9-02516089EF04}" presName="LevelTwoTextNode" presStyleLbl="node3" presStyleIdx="1" presStyleCnt="2" custScaleY="127031" custLinFactNeighborX="-2431" custLinFactNeighborY="-64272">
        <dgm:presLayoutVars>
          <dgm:chPref val="3"/>
        </dgm:presLayoutVars>
      </dgm:prSet>
      <dgm:spPr/>
      <dgm:t>
        <a:bodyPr/>
        <a:lstStyle/>
        <a:p>
          <a:endParaRPr lang="en-US"/>
        </a:p>
      </dgm:t>
    </dgm:pt>
    <dgm:pt modelId="{6E983072-0E8E-4860-A925-08E0ACA5C567}" type="pres">
      <dgm:prSet presAssocID="{64860C0B-B667-4CAF-9CC9-02516089EF04}" presName="level3hierChild" presStyleCnt="0"/>
      <dgm:spPr/>
    </dgm:pt>
    <dgm:pt modelId="{4804CEBB-E698-4EAC-BF9F-43570E6205E2}" type="pres">
      <dgm:prSet presAssocID="{BB001271-E773-435F-83CC-CF9EB8C7123F}" presName="conn2-1" presStyleLbl="parChTrans1D2" presStyleIdx="1" presStyleCnt="2"/>
      <dgm:spPr/>
      <dgm:t>
        <a:bodyPr/>
        <a:lstStyle/>
        <a:p>
          <a:endParaRPr lang="en-US"/>
        </a:p>
      </dgm:t>
    </dgm:pt>
    <dgm:pt modelId="{11AEA678-7B79-40E5-867D-BC01B522241B}" type="pres">
      <dgm:prSet presAssocID="{BB001271-E773-435F-83CC-CF9EB8C7123F}" presName="connTx" presStyleLbl="parChTrans1D2" presStyleIdx="1" presStyleCnt="2"/>
      <dgm:spPr/>
      <dgm:t>
        <a:bodyPr/>
        <a:lstStyle/>
        <a:p>
          <a:endParaRPr lang="en-US"/>
        </a:p>
      </dgm:t>
    </dgm:pt>
    <dgm:pt modelId="{62725D18-C72E-458A-AB20-EDA64BBA23C1}" type="pres">
      <dgm:prSet presAssocID="{D053D655-328A-49D5-B307-FE4325A1271F}" presName="root2" presStyleCnt="0"/>
      <dgm:spPr/>
    </dgm:pt>
    <dgm:pt modelId="{3F9935D5-DE23-44E4-BAB8-AF943F39740E}" type="pres">
      <dgm:prSet presAssocID="{D053D655-328A-49D5-B307-FE4325A1271F}" presName="LevelTwoTextNode" presStyleLbl="node2" presStyleIdx="1" presStyleCnt="2" custLinFactNeighborX="6330" custLinFactNeighborY="-21249">
        <dgm:presLayoutVars>
          <dgm:chPref val="3"/>
        </dgm:presLayoutVars>
      </dgm:prSet>
      <dgm:spPr/>
      <dgm:t>
        <a:bodyPr/>
        <a:lstStyle/>
        <a:p>
          <a:endParaRPr lang="en-US"/>
        </a:p>
      </dgm:t>
    </dgm:pt>
    <dgm:pt modelId="{5E336BF6-F8AA-42D3-B96D-745BCC8472E1}" type="pres">
      <dgm:prSet presAssocID="{D053D655-328A-49D5-B307-FE4325A1271F}" presName="level3hierChild" presStyleCnt="0"/>
      <dgm:spPr/>
    </dgm:pt>
  </dgm:ptLst>
  <dgm:cxnLst>
    <dgm:cxn modelId="{1127A021-C499-422E-97CD-CA6DAC482201}" type="presOf" srcId="{BB001271-E773-435F-83CC-CF9EB8C7123F}" destId="{4804CEBB-E698-4EAC-BF9F-43570E6205E2}" srcOrd="0" destOrd="0" presId="urn:microsoft.com/office/officeart/2008/layout/HorizontalMultiLevelHierarchy"/>
    <dgm:cxn modelId="{5AFDEBC9-1CC1-4E5B-8B28-4786849F305E}" type="presOf" srcId="{FC74688D-5300-4B55-87F7-00A5F86C80F1}" destId="{7D2E88BD-9A09-413B-87FC-DDB587DDE2BE}" srcOrd="0" destOrd="0" presId="urn:microsoft.com/office/officeart/2008/layout/HorizontalMultiLevelHierarchy"/>
    <dgm:cxn modelId="{B578136B-5D6B-4C61-A130-E151B6196AB7}" type="presOf" srcId="{4160F290-16CD-41B2-A8BD-5404DC07FB48}" destId="{87EEBE2F-EE10-422E-9611-C9BBFEA7341A}" srcOrd="1" destOrd="0" presId="urn:microsoft.com/office/officeart/2008/layout/HorizontalMultiLevelHierarchy"/>
    <dgm:cxn modelId="{856F046C-399C-41C1-B405-7B7D43D87651}" type="presOf" srcId="{52829200-84F9-4AA4-B4E6-FEA588CB8C51}" destId="{51D593AF-19C8-49A4-8FA9-EAB99D2149A8}" srcOrd="0" destOrd="0" presId="urn:microsoft.com/office/officeart/2008/layout/HorizontalMultiLevelHierarchy"/>
    <dgm:cxn modelId="{69021D49-A66D-4785-B003-6C7984FDF93D}" type="presOf" srcId="{4350D639-6341-4059-ACF8-24C563981333}" destId="{A06CAD0B-C93A-4517-BCF9-C810025D2AD7}" srcOrd="0" destOrd="0" presId="urn:microsoft.com/office/officeart/2008/layout/HorizontalMultiLevelHierarchy"/>
    <dgm:cxn modelId="{AD0991C5-5591-444F-A341-099F73DF7B00}" type="presOf" srcId="{C2D97D29-6259-4744-85B9-EAD05A679309}" destId="{8B3FEE69-F849-4735-9CE9-B575789B9E5A}" srcOrd="0" destOrd="0" presId="urn:microsoft.com/office/officeart/2008/layout/HorizontalMultiLevelHierarchy"/>
    <dgm:cxn modelId="{EEC8EEC0-1645-4B3B-88BD-49DAFA079454}" type="presOf" srcId="{D053D655-328A-49D5-B307-FE4325A1271F}" destId="{3F9935D5-DE23-44E4-BAB8-AF943F39740E}" srcOrd="0" destOrd="0" presId="urn:microsoft.com/office/officeart/2008/layout/HorizontalMultiLevelHierarchy"/>
    <dgm:cxn modelId="{96F10C56-8A16-40E5-BC9D-0FE2BE6F88DE}" type="presOf" srcId="{8FFC22E9-23BF-4A67-9210-7F18ECE679D5}" destId="{B0CEDBE1-1B9D-4E66-BDEC-9A58120062BC}" srcOrd="0" destOrd="0" presId="urn:microsoft.com/office/officeart/2008/layout/HorizontalMultiLevelHierarchy"/>
    <dgm:cxn modelId="{EDE9692C-FC13-46FC-B707-7BEAFBDF2857}" type="presOf" srcId="{3194E518-CBBF-4014-A46C-2BCEB6F380CD}" destId="{64B151D7-3925-459D-9AB2-959ACFDF431E}" srcOrd="1" destOrd="0" presId="urn:microsoft.com/office/officeart/2008/layout/HorizontalMultiLevelHierarchy"/>
    <dgm:cxn modelId="{87FF1FBA-2D6D-4B65-B698-6216FD4CEAE7}" type="presOf" srcId="{F8E9AB31-BA28-44F1-AE2D-E6099C6A71B2}" destId="{F096A56D-31BB-494C-8297-9C315088C1B9}" srcOrd="1" destOrd="0" presId="urn:microsoft.com/office/officeart/2008/layout/HorizontalMultiLevelHierarchy"/>
    <dgm:cxn modelId="{6A6002FC-A6CA-42F7-9C25-E54DC450E27C}" srcId="{78652100-CCEF-4CBA-B854-9980801401EF}" destId="{8FFC22E9-23BF-4A67-9210-7F18ECE679D5}" srcOrd="0" destOrd="0" parTransId="{91361CDB-03AA-4A63-8E89-138142BC72E8}" sibTransId="{540F8F9E-2176-48AE-911B-C9157889975D}"/>
    <dgm:cxn modelId="{CC2AB8CA-DF1E-40A4-AC16-1DAA510E3691}" type="presOf" srcId="{BB001271-E773-435F-83CC-CF9EB8C7123F}" destId="{11AEA678-7B79-40E5-867D-BC01B522241B}" srcOrd="1" destOrd="0" presId="urn:microsoft.com/office/officeart/2008/layout/HorizontalMultiLevelHierarchy"/>
    <dgm:cxn modelId="{69C4DCAF-ECE3-4F3D-B92D-F3C5090F3A4C}" type="presOf" srcId="{64F0E163-875A-4B83-A459-D1675D0813DB}" destId="{19895652-2BD8-4F75-A44E-B103EF6DC89C}" srcOrd="0" destOrd="0" presId="urn:microsoft.com/office/officeart/2008/layout/HorizontalMultiLevelHierarchy"/>
    <dgm:cxn modelId="{1D867889-FBA7-476F-9C72-1D791D59D9E0}" srcId="{78652100-CCEF-4CBA-B854-9980801401EF}" destId="{D053D655-328A-49D5-B307-FE4325A1271F}" srcOrd="1" destOrd="0" parTransId="{BB001271-E773-435F-83CC-CF9EB8C7123F}" sibTransId="{DE5165B8-0D94-410B-B3A6-9FF180EFA834}"/>
    <dgm:cxn modelId="{AF56E129-844F-42A5-8F84-24D76EEB0DEB}" type="presOf" srcId="{3194E518-CBBF-4014-A46C-2BCEB6F380CD}" destId="{0BE5EE39-D4EA-4C79-BDDB-ED85C237AF9E}" srcOrd="0" destOrd="0" presId="urn:microsoft.com/office/officeart/2008/layout/HorizontalMultiLevelHierarchy"/>
    <dgm:cxn modelId="{B9E05940-5A31-49F5-8EE9-D8AA6426CEFA}" type="presOf" srcId="{94BE6645-20D6-4D58-8CAB-A83DEA73240C}" destId="{4EC2E5BF-C415-4D56-8725-BF87D3AF7199}" srcOrd="0" destOrd="0" presId="urn:microsoft.com/office/officeart/2008/layout/HorizontalMultiLevelHierarchy"/>
    <dgm:cxn modelId="{E6F70DCA-5B1B-470B-AC4F-5CE76BBA6499}" type="presOf" srcId="{78652100-CCEF-4CBA-B854-9980801401EF}" destId="{BA8CD2A3-AF9A-4621-8A05-D52163C641BF}" srcOrd="0" destOrd="0" presId="urn:microsoft.com/office/officeart/2008/layout/HorizontalMultiLevelHierarchy"/>
    <dgm:cxn modelId="{E612BBCC-B18C-41F7-A2DD-2A3D45AB20DE}" srcId="{8FFC22E9-23BF-4A67-9210-7F18ECE679D5}" destId="{C2D97D29-6259-4744-85B9-EAD05A679309}" srcOrd="0" destOrd="0" parTransId="{CF25F48D-902F-47CB-B20F-940166BADBD4}" sibTransId="{E3348E02-843C-48E3-9513-C1309AB480FB}"/>
    <dgm:cxn modelId="{1837AB62-FC82-4168-91EB-6CBE9C741A2B}" srcId="{52829200-84F9-4AA4-B4E6-FEA588CB8C51}" destId="{78652100-CCEF-4CBA-B854-9980801401EF}" srcOrd="0" destOrd="0" parTransId="{8096D2E6-72A4-49D8-AD06-C98DEB4507D6}" sibTransId="{5374EF0A-C3FD-42C3-B464-8C83FDAF124F}"/>
    <dgm:cxn modelId="{82C0778B-809C-477B-8F02-98F83AE379C6}" type="presOf" srcId="{4160F290-16CD-41B2-A8BD-5404DC07FB48}" destId="{E0B7802F-C97D-41C3-B7D1-E6746BD80388}" srcOrd="0" destOrd="0" presId="urn:microsoft.com/office/officeart/2008/layout/HorizontalMultiLevelHierarchy"/>
    <dgm:cxn modelId="{E853BDC7-3F87-477E-963D-DE819E46DD86}" type="presOf" srcId="{91361CDB-03AA-4A63-8E89-138142BC72E8}" destId="{6BADC9B4-EE78-45D1-8555-C248693540BF}" srcOrd="1" destOrd="0" presId="urn:microsoft.com/office/officeart/2008/layout/HorizontalMultiLevelHierarchy"/>
    <dgm:cxn modelId="{30ADD6D7-47D6-4180-9E19-169442C33E2D}" srcId="{C2D97D29-6259-4744-85B9-EAD05A679309}" destId="{4350D639-6341-4059-ACF8-24C563981333}" srcOrd="1" destOrd="0" parTransId="{F8E9AB31-BA28-44F1-AE2D-E6099C6A71B2}" sibTransId="{96758A87-984D-4164-96E8-156A92350F5A}"/>
    <dgm:cxn modelId="{DCDBC0A7-14AC-4B2D-BA70-E4B89D872326}" type="presOf" srcId="{CF25F48D-902F-47CB-B20F-940166BADBD4}" destId="{914E9FCB-FEED-4604-974E-CA195D4E938B}" srcOrd="1" destOrd="0" presId="urn:microsoft.com/office/officeart/2008/layout/HorizontalMultiLevelHierarchy"/>
    <dgm:cxn modelId="{35D9F093-9B92-439D-BCEF-3B03B9FD2E60}" type="presOf" srcId="{F8E9AB31-BA28-44F1-AE2D-E6099C6A71B2}" destId="{BE2ABB69-C5DA-45B6-A741-2EFC81332011}" srcOrd="0" destOrd="0" presId="urn:microsoft.com/office/officeart/2008/layout/HorizontalMultiLevelHierarchy"/>
    <dgm:cxn modelId="{A6EA6658-2732-4F65-B16E-98D5CDFA4F38}" srcId="{C2D97D29-6259-4744-85B9-EAD05A679309}" destId="{FC74688D-5300-4B55-87F7-00A5F86C80F1}" srcOrd="2" destOrd="0" parTransId="{64F0E163-875A-4B83-A459-D1675D0813DB}" sibTransId="{F5B52AA8-1BCF-4572-A872-7887302E0B73}"/>
    <dgm:cxn modelId="{6EE9F441-8A9C-4621-8709-823E0168FB99}" type="presOf" srcId="{64860C0B-B667-4CAF-9CC9-02516089EF04}" destId="{D5B95612-E81E-497A-A3D4-484945D089B8}" srcOrd="0" destOrd="0" presId="urn:microsoft.com/office/officeart/2008/layout/HorizontalMultiLevelHierarchy"/>
    <dgm:cxn modelId="{DB915567-4DF9-4E73-B997-DF4408B768E8}" type="presOf" srcId="{64F0E163-875A-4B83-A459-D1675D0813DB}" destId="{7DD8D2B5-5FD0-4B4A-901E-465F25B2DE48}" srcOrd="1" destOrd="0" presId="urn:microsoft.com/office/officeart/2008/layout/HorizontalMultiLevelHierarchy"/>
    <dgm:cxn modelId="{71BA8D4C-825F-4FAC-870F-BA8C5E961E96}" srcId="{8FFC22E9-23BF-4A67-9210-7F18ECE679D5}" destId="{64860C0B-B667-4CAF-9CC9-02516089EF04}" srcOrd="1" destOrd="0" parTransId="{3194E518-CBBF-4014-A46C-2BCEB6F380CD}" sibTransId="{6034735C-BE5A-49C0-ACBC-5C19CA0DEAF9}"/>
    <dgm:cxn modelId="{00122A4B-775A-466D-B477-24286403C437}" type="presOf" srcId="{91361CDB-03AA-4A63-8E89-138142BC72E8}" destId="{08C08379-BEF6-4B7C-963F-8B08029B913E}" srcOrd="0" destOrd="0" presId="urn:microsoft.com/office/officeart/2008/layout/HorizontalMultiLevelHierarchy"/>
    <dgm:cxn modelId="{3AC8F336-9502-4216-B653-37802B80D8F6}" type="presOf" srcId="{CF25F48D-902F-47CB-B20F-940166BADBD4}" destId="{AC16D951-31EF-420A-B83F-E2827B7487C8}" srcOrd="0" destOrd="0" presId="urn:microsoft.com/office/officeart/2008/layout/HorizontalMultiLevelHierarchy"/>
    <dgm:cxn modelId="{8F934E0E-B004-450A-B02F-7E1CC5C15AA0}" srcId="{C2D97D29-6259-4744-85B9-EAD05A679309}" destId="{94BE6645-20D6-4D58-8CAB-A83DEA73240C}" srcOrd="0" destOrd="0" parTransId="{4160F290-16CD-41B2-A8BD-5404DC07FB48}" sibTransId="{C394A7CF-CAF9-4D27-9EA4-B986F94EF33E}"/>
    <dgm:cxn modelId="{1DC35E34-0471-402D-BC0A-C5AC3FFE1EB6}" type="presParOf" srcId="{51D593AF-19C8-49A4-8FA9-EAB99D2149A8}" destId="{31ACA5A7-4C34-4FF5-81AE-C5C4973DACD9}" srcOrd="0" destOrd="0" presId="urn:microsoft.com/office/officeart/2008/layout/HorizontalMultiLevelHierarchy"/>
    <dgm:cxn modelId="{6AB766CC-3498-451D-8A8A-8411F25FDF0C}" type="presParOf" srcId="{31ACA5A7-4C34-4FF5-81AE-C5C4973DACD9}" destId="{BA8CD2A3-AF9A-4621-8A05-D52163C641BF}" srcOrd="0" destOrd="0" presId="urn:microsoft.com/office/officeart/2008/layout/HorizontalMultiLevelHierarchy"/>
    <dgm:cxn modelId="{EE2559AE-0B4C-47D6-80E5-4617BCB9F590}" type="presParOf" srcId="{31ACA5A7-4C34-4FF5-81AE-C5C4973DACD9}" destId="{6B014040-612B-4AE1-8E19-7D3F1FA196BD}" srcOrd="1" destOrd="0" presId="urn:microsoft.com/office/officeart/2008/layout/HorizontalMultiLevelHierarchy"/>
    <dgm:cxn modelId="{6F881ADA-2152-4B67-A69B-95A5A9D0581D}" type="presParOf" srcId="{6B014040-612B-4AE1-8E19-7D3F1FA196BD}" destId="{08C08379-BEF6-4B7C-963F-8B08029B913E}" srcOrd="0" destOrd="0" presId="urn:microsoft.com/office/officeart/2008/layout/HorizontalMultiLevelHierarchy"/>
    <dgm:cxn modelId="{A9975B10-AE03-41C6-856E-E5250E49265E}" type="presParOf" srcId="{08C08379-BEF6-4B7C-963F-8B08029B913E}" destId="{6BADC9B4-EE78-45D1-8555-C248693540BF}" srcOrd="0" destOrd="0" presId="urn:microsoft.com/office/officeart/2008/layout/HorizontalMultiLevelHierarchy"/>
    <dgm:cxn modelId="{E213100D-45D4-4147-8487-FD7882E33BCB}" type="presParOf" srcId="{6B014040-612B-4AE1-8E19-7D3F1FA196BD}" destId="{72411657-CED1-4865-BB94-06B868CCF3E6}" srcOrd="1" destOrd="0" presId="urn:microsoft.com/office/officeart/2008/layout/HorizontalMultiLevelHierarchy"/>
    <dgm:cxn modelId="{1C313BFC-7916-4EB4-BC64-8E6725BF917E}" type="presParOf" srcId="{72411657-CED1-4865-BB94-06B868CCF3E6}" destId="{B0CEDBE1-1B9D-4E66-BDEC-9A58120062BC}" srcOrd="0" destOrd="0" presId="urn:microsoft.com/office/officeart/2008/layout/HorizontalMultiLevelHierarchy"/>
    <dgm:cxn modelId="{7A5F5DA8-FD5F-4614-918C-27E02D53A179}" type="presParOf" srcId="{72411657-CED1-4865-BB94-06B868CCF3E6}" destId="{C45138F3-5C80-4DBE-AE31-94EEEB30A92D}" srcOrd="1" destOrd="0" presId="urn:microsoft.com/office/officeart/2008/layout/HorizontalMultiLevelHierarchy"/>
    <dgm:cxn modelId="{11C40B5F-28C4-4893-BF89-8C4E186B8E72}" type="presParOf" srcId="{C45138F3-5C80-4DBE-AE31-94EEEB30A92D}" destId="{AC16D951-31EF-420A-B83F-E2827B7487C8}" srcOrd="0" destOrd="0" presId="urn:microsoft.com/office/officeart/2008/layout/HorizontalMultiLevelHierarchy"/>
    <dgm:cxn modelId="{A1FA3B6C-4537-4C6B-A1F6-231C784A55A8}" type="presParOf" srcId="{AC16D951-31EF-420A-B83F-E2827B7487C8}" destId="{914E9FCB-FEED-4604-974E-CA195D4E938B}" srcOrd="0" destOrd="0" presId="urn:microsoft.com/office/officeart/2008/layout/HorizontalMultiLevelHierarchy"/>
    <dgm:cxn modelId="{EE551669-9733-41A1-BFCE-3C7C93F5E4DC}" type="presParOf" srcId="{C45138F3-5C80-4DBE-AE31-94EEEB30A92D}" destId="{8E2C87C4-8B8E-4495-800A-8EE1D00500A3}" srcOrd="1" destOrd="0" presId="urn:microsoft.com/office/officeart/2008/layout/HorizontalMultiLevelHierarchy"/>
    <dgm:cxn modelId="{9B95C119-BAAB-4099-A944-760DAEE3780E}" type="presParOf" srcId="{8E2C87C4-8B8E-4495-800A-8EE1D00500A3}" destId="{8B3FEE69-F849-4735-9CE9-B575789B9E5A}" srcOrd="0" destOrd="0" presId="urn:microsoft.com/office/officeart/2008/layout/HorizontalMultiLevelHierarchy"/>
    <dgm:cxn modelId="{AD849EBB-B464-450E-A517-886F4C557521}" type="presParOf" srcId="{8E2C87C4-8B8E-4495-800A-8EE1D00500A3}" destId="{8E4FC086-980D-4964-8F93-F74DF9BA9B07}" srcOrd="1" destOrd="0" presId="urn:microsoft.com/office/officeart/2008/layout/HorizontalMultiLevelHierarchy"/>
    <dgm:cxn modelId="{C9C07BAD-91D5-47F9-A06C-5867A9C86E96}" type="presParOf" srcId="{8E4FC086-980D-4964-8F93-F74DF9BA9B07}" destId="{E0B7802F-C97D-41C3-B7D1-E6746BD80388}" srcOrd="0" destOrd="0" presId="urn:microsoft.com/office/officeart/2008/layout/HorizontalMultiLevelHierarchy"/>
    <dgm:cxn modelId="{5A19879C-A4C8-4EEC-8126-7AACFF1853DB}" type="presParOf" srcId="{E0B7802F-C97D-41C3-B7D1-E6746BD80388}" destId="{87EEBE2F-EE10-422E-9611-C9BBFEA7341A}" srcOrd="0" destOrd="0" presId="urn:microsoft.com/office/officeart/2008/layout/HorizontalMultiLevelHierarchy"/>
    <dgm:cxn modelId="{653A6A7F-C3CA-41F3-9601-A66759206DBA}" type="presParOf" srcId="{8E4FC086-980D-4964-8F93-F74DF9BA9B07}" destId="{CD79FD01-94FD-4E78-9885-F8F25B5D0117}" srcOrd="1" destOrd="0" presId="urn:microsoft.com/office/officeart/2008/layout/HorizontalMultiLevelHierarchy"/>
    <dgm:cxn modelId="{4116938C-76B1-4315-B750-97689CBFBFB3}" type="presParOf" srcId="{CD79FD01-94FD-4E78-9885-F8F25B5D0117}" destId="{4EC2E5BF-C415-4D56-8725-BF87D3AF7199}" srcOrd="0" destOrd="0" presId="urn:microsoft.com/office/officeart/2008/layout/HorizontalMultiLevelHierarchy"/>
    <dgm:cxn modelId="{69D3EC53-B476-4B38-BEE7-AF6A8C00ED2F}" type="presParOf" srcId="{CD79FD01-94FD-4E78-9885-F8F25B5D0117}" destId="{56A05037-19C1-4CA0-A95C-5E5873EB657B}" srcOrd="1" destOrd="0" presId="urn:microsoft.com/office/officeart/2008/layout/HorizontalMultiLevelHierarchy"/>
    <dgm:cxn modelId="{3FF7575A-F394-4EC1-BB00-9C00CD0BA067}" type="presParOf" srcId="{8E4FC086-980D-4964-8F93-F74DF9BA9B07}" destId="{BE2ABB69-C5DA-45B6-A741-2EFC81332011}" srcOrd="2" destOrd="0" presId="urn:microsoft.com/office/officeart/2008/layout/HorizontalMultiLevelHierarchy"/>
    <dgm:cxn modelId="{33394247-CD3C-4F5E-AFA0-0BE3A738A403}" type="presParOf" srcId="{BE2ABB69-C5DA-45B6-A741-2EFC81332011}" destId="{F096A56D-31BB-494C-8297-9C315088C1B9}" srcOrd="0" destOrd="0" presId="urn:microsoft.com/office/officeart/2008/layout/HorizontalMultiLevelHierarchy"/>
    <dgm:cxn modelId="{3BB8CE5C-B448-49E4-B37E-1BA0A6B31FD3}" type="presParOf" srcId="{8E4FC086-980D-4964-8F93-F74DF9BA9B07}" destId="{C7979B8F-5F24-4654-A573-CCBDE46D33D1}" srcOrd="3" destOrd="0" presId="urn:microsoft.com/office/officeart/2008/layout/HorizontalMultiLevelHierarchy"/>
    <dgm:cxn modelId="{B48A16FB-A9D3-4436-888D-9C1A82DC41F5}" type="presParOf" srcId="{C7979B8F-5F24-4654-A573-CCBDE46D33D1}" destId="{A06CAD0B-C93A-4517-BCF9-C810025D2AD7}" srcOrd="0" destOrd="0" presId="urn:microsoft.com/office/officeart/2008/layout/HorizontalMultiLevelHierarchy"/>
    <dgm:cxn modelId="{6B621ADE-FDDF-4950-A9DE-EE78D0C97D63}" type="presParOf" srcId="{C7979B8F-5F24-4654-A573-CCBDE46D33D1}" destId="{B09EEA1E-E3D8-47FD-9759-99172E0C3021}" srcOrd="1" destOrd="0" presId="urn:microsoft.com/office/officeart/2008/layout/HorizontalMultiLevelHierarchy"/>
    <dgm:cxn modelId="{EA225FC3-14C2-4DA7-934B-36E1E1C47661}" type="presParOf" srcId="{8E4FC086-980D-4964-8F93-F74DF9BA9B07}" destId="{19895652-2BD8-4F75-A44E-B103EF6DC89C}" srcOrd="4" destOrd="0" presId="urn:microsoft.com/office/officeart/2008/layout/HorizontalMultiLevelHierarchy"/>
    <dgm:cxn modelId="{E9DB7F2D-91FF-43EC-8A66-4E0AE196638A}" type="presParOf" srcId="{19895652-2BD8-4F75-A44E-B103EF6DC89C}" destId="{7DD8D2B5-5FD0-4B4A-901E-465F25B2DE48}" srcOrd="0" destOrd="0" presId="urn:microsoft.com/office/officeart/2008/layout/HorizontalMultiLevelHierarchy"/>
    <dgm:cxn modelId="{3C7E51C6-F9DD-4A43-912A-89DFF1612B03}" type="presParOf" srcId="{8E4FC086-980D-4964-8F93-F74DF9BA9B07}" destId="{A99390F9-44EB-4A48-866E-75A2551F5851}" srcOrd="5" destOrd="0" presId="urn:microsoft.com/office/officeart/2008/layout/HorizontalMultiLevelHierarchy"/>
    <dgm:cxn modelId="{35B1D9D4-BD3C-438C-B9BF-9CF68C7A1496}" type="presParOf" srcId="{A99390F9-44EB-4A48-866E-75A2551F5851}" destId="{7D2E88BD-9A09-413B-87FC-DDB587DDE2BE}" srcOrd="0" destOrd="0" presId="urn:microsoft.com/office/officeart/2008/layout/HorizontalMultiLevelHierarchy"/>
    <dgm:cxn modelId="{CB2CE3B4-0301-4B60-BD9C-17165CE33A35}" type="presParOf" srcId="{A99390F9-44EB-4A48-866E-75A2551F5851}" destId="{5C645761-A95A-4E6B-8AD8-52B9B6A6C8A8}" srcOrd="1" destOrd="0" presId="urn:microsoft.com/office/officeart/2008/layout/HorizontalMultiLevelHierarchy"/>
    <dgm:cxn modelId="{BA35DE14-AAED-41C6-9B75-F0E20A235D91}" type="presParOf" srcId="{C45138F3-5C80-4DBE-AE31-94EEEB30A92D}" destId="{0BE5EE39-D4EA-4C79-BDDB-ED85C237AF9E}" srcOrd="2" destOrd="0" presId="urn:microsoft.com/office/officeart/2008/layout/HorizontalMultiLevelHierarchy"/>
    <dgm:cxn modelId="{89BFE5A6-3729-45AD-BBBA-CD160C991891}" type="presParOf" srcId="{0BE5EE39-D4EA-4C79-BDDB-ED85C237AF9E}" destId="{64B151D7-3925-459D-9AB2-959ACFDF431E}" srcOrd="0" destOrd="0" presId="urn:microsoft.com/office/officeart/2008/layout/HorizontalMultiLevelHierarchy"/>
    <dgm:cxn modelId="{F00DCF0F-A89B-4767-9355-717DB11A888A}" type="presParOf" srcId="{C45138F3-5C80-4DBE-AE31-94EEEB30A92D}" destId="{C98F61DB-2B49-4A51-98E4-836A834F7DBF}" srcOrd="3" destOrd="0" presId="urn:microsoft.com/office/officeart/2008/layout/HorizontalMultiLevelHierarchy"/>
    <dgm:cxn modelId="{E8A25832-2462-45B1-8B6D-F95CD7CC3C57}" type="presParOf" srcId="{C98F61DB-2B49-4A51-98E4-836A834F7DBF}" destId="{D5B95612-E81E-497A-A3D4-484945D089B8}" srcOrd="0" destOrd="0" presId="urn:microsoft.com/office/officeart/2008/layout/HorizontalMultiLevelHierarchy"/>
    <dgm:cxn modelId="{4AA855FA-C0C3-4210-B0D1-C67E353101CD}" type="presParOf" srcId="{C98F61DB-2B49-4A51-98E4-836A834F7DBF}" destId="{6E983072-0E8E-4860-A925-08E0ACA5C567}" srcOrd="1" destOrd="0" presId="urn:microsoft.com/office/officeart/2008/layout/HorizontalMultiLevelHierarchy"/>
    <dgm:cxn modelId="{DAD49A0D-B6B8-4DAD-9F77-03F56DC11469}" type="presParOf" srcId="{6B014040-612B-4AE1-8E19-7D3F1FA196BD}" destId="{4804CEBB-E698-4EAC-BF9F-43570E6205E2}" srcOrd="2" destOrd="0" presId="urn:microsoft.com/office/officeart/2008/layout/HorizontalMultiLevelHierarchy"/>
    <dgm:cxn modelId="{48AF1B82-525C-4D69-9DD0-A812F9E03EE5}" type="presParOf" srcId="{4804CEBB-E698-4EAC-BF9F-43570E6205E2}" destId="{11AEA678-7B79-40E5-867D-BC01B522241B}" srcOrd="0" destOrd="0" presId="urn:microsoft.com/office/officeart/2008/layout/HorizontalMultiLevelHierarchy"/>
    <dgm:cxn modelId="{20584F67-EFAF-47DD-BAA3-2AA07651F9AB}" type="presParOf" srcId="{6B014040-612B-4AE1-8E19-7D3F1FA196BD}" destId="{62725D18-C72E-458A-AB20-EDA64BBA23C1}" srcOrd="3" destOrd="0" presId="urn:microsoft.com/office/officeart/2008/layout/HorizontalMultiLevelHierarchy"/>
    <dgm:cxn modelId="{1840B60E-775E-4937-B420-7E03D8630E58}" type="presParOf" srcId="{62725D18-C72E-458A-AB20-EDA64BBA23C1}" destId="{3F9935D5-DE23-44E4-BAB8-AF943F39740E}" srcOrd="0" destOrd="0" presId="urn:microsoft.com/office/officeart/2008/layout/HorizontalMultiLevelHierarchy"/>
    <dgm:cxn modelId="{1F074876-4DF6-4656-AE1E-BB5739FFB757}" type="presParOf" srcId="{62725D18-C72E-458A-AB20-EDA64BBA23C1}" destId="{5E336BF6-F8AA-42D3-B96D-745BCC8472E1}" srcOrd="1" destOrd="0" presId="urn:microsoft.com/office/officeart/2008/layout/HorizontalMultiLevelHierarchy"/>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9"/>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04CEBB-E698-4EAC-BF9F-43570E6205E2}">
      <dsp:nvSpPr>
        <dsp:cNvPr id="0" name=""/>
        <dsp:cNvSpPr/>
      </dsp:nvSpPr>
      <dsp:spPr>
        <a:xfrm>
          <a:off x="410784" y="1233246"/>
          <a:ext cx="353991" cy="509044"/>
        </a:xfrm>
        <a:custGeom>
          <a:avLst/>
          <a:gdLst/>
          <a:rect l="0" t="0" r="0" b="0"/>
          <a:pathLst>
            <a:path fill="norm" stroke="1">
              <a:moveTo>
                <a:pt x="0" y="0"/>
              </a:moveTo>
              <a:lnTo>
                <a:pt x="176995" y="0"/>
              </a:lnTo>
              <a:lnTo>
                <a:pt x="176995" y="509044"/>
              </a:lnTo>
              <a:lnTo>
                <a:pt x="353991" y="509044"/>
              </a:lnTo>
            </a:path>
          </a:pathLst>
        </a:custGeom>
        <a:noFill/>
        <a:ln w="6350">
          <a:solidFill>
            <a:schemeClr val="accent3"/>
          </a:solidFill>
          <a:prstDash val="solid"/>
          <a:miter lim="800000"/>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lstStyle/>
        <a:p>
          <a:pPr lvl="0" algn="ctr" defTabSz="222250">
            <a:lnSpc>
              <a:spcPct val="90000"/>
            </a:lnSpc>
            <a:spcBef>
              <a:spcPct val="0"/>
            </a:spcBef>
            <a:spcAft>
              <a:spcPct val="35000"/>
            </a:spcAft>
          </a:pPr>
          <a:endParaRPr lang="en-US" sz="500" kern="1200"/>
        </a:p>
      </dsp:txBody>
      <dsp:txXfrm>
        <a:off x="572279" y="1472267"/>
        <a:ext cx="31001" cy="31001"/>
      </dsp:txXfrm>
    </dsp:sp>
    <dsp:sp modelId="{0BE5EE39-D4EA-4C79-BDDB-ED85C237AF9E}">
      <dsp:nvSpPr>
        <dsp:cNvPr id="0" name=""/>
        <dsp:cNvSpPr/>
      </dsp:nvSpPr>
      <dsp:spPr>
        <a:xfrm>
          <a:off x="2102562" y="869287"/>
          <a:ext cx="157756" cy="303065"/>
        </a:xfrm>
        <a:custGeom>
          <a:avLst/>
          <a:gdLst/>
          <a:rect l="0" t="0" r="0" b="0"/>
          <a:pathLst>
            <a:path fill="norm" stroke="1">
              <a:moveTo>
                <a:pt x="0" y="0"/>
              </a:moveTo>
              <a:lnTo>
                <a:pt x="78878" y="0"/>
              </a:lnTo>
              <a:lnTo>
                <a:pt x="78878" y="303065"/>
              </a:lnTo>
              <a:lnTo>
                <a:pt x="157756" y="303065"/>
              </a:lnTo>
            </a:path>
          </a:pathLst>
        </a:custGeom>
        <a:noFill/>
        <a:ln w="6350">
          <a:solidFill>
            <a:schemeClr val="accent3"/>
          </a:solidFill>
          <a:prstDash val="solid"/>
          <a:miter lim="800000"/>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lstStyle/>
        <a:p>
          <a:pPr lvl="0" algn="ctr" defTabSz="222250">
            <a:lnSpc>
              <a:spcPct val="90000"/>
            </a:lnSpc>
            <a:spcBef>
              <a:spcPct val="0"/>
            </a:spcBef>
            <a:spcAft>
              <a:spcPct val="35000"/>
            </a:spcAft>
          </a:pPr>
          <a:endParaRPr lang="en-US" sz="500" kern="1200"/>
        </a:p>
      </dsp:txBody>
      <dsp:txXfrm>
        <a:off x="2172899" y="1012277"/>
        <a:ext cx="17083" cy="17083"/>
      </dsp:txXfrm>
    </dsp:sp>
    <dsp:sp modelId="{19895652-2BD8-4F75-A44E-B103EF6DC89C}">
      <dsp:nvSpPr>
        <dsp:cNvPr id="0" name=""/>
        <dsp:cNvSpPr/>
      </dsp:nvSpPr>
      <dsp:spPr>
        <a:xfrm>
          <a:off x="3603538" y="334242"/>
          <a:ext cx="302795" cy="1046156"/>
        </a:xfrm>
        <a:custGeom>
          <a:avLst/>
          <a:gdLst/>
          <a:rect l="0" t="0" r="0" b="0"/>
          <a:pathLst>
            <a:path fill="norm" stroke="1">
              <a:moveTo>
                <a:pt x="0" y="0"/>
              </a:moveTo>
              <a:lnTo>
                <a:pt x="151397" y="0"/>
              </a:lnTo>
              <a:lnTo>
                <a:pt x="151397" y="1046156"/>
              </a:lnTo>
              <a:lnTo>
                <a:pt x="302795" y="1046156"/>
              </a:lnTo>
            </a:path>
          </a:pathLst>
        </a:custGeom>
        <a:noFill/>
        <a:ln w="6350">
          <a:solidFill>
            <a:schemeClr val="accent3"/>
          </a:solidFill>
          <a:prstDash val="solid"/>
          <a:miter lim="800000"/>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lstStyle/>
        <a:p>
          <a:pPr lvl="0" algn="ctr" defTabSz="222250">
            <a:lnSpc>
              <a:spcPct val="90000"/>
            </a:lnSpc>
            <a:spcBef>
              <a:spcPct val="0"/>
            </a:spcBef>
            <a:spcAft>
              <a:spcPct val="35000"/>
            </a:spcAft>
          </a:pPr>
          <a:endParaRPr lang="en-US" sz="500" kern="1200"/>
        </a:p>
      </dsp:txBody>
      <dsp:txXfrm>
        <a:off x="3727708" y="830092"/>
        <a:ext cx="54454" cy="54454"/>
      </dsp:txXfrm>
    </dsp:sp>
    <dsp:sp modelId="{BE2ABB69-C5DA-45B6-A741-2EFC81332011}">
      <dsp:nvSpPr>
        <dsp:cNvPr id="0" name=""/>
        <dsp:cNvSpPr/>
      </dsp:nvSpPr>
      <dsp:spPr>
        <a:xfrm>
          <a:off x="3603538" y="204945"/>
          <a:ext cx="305376" cy="129296"/>
        </a:xfrm>
        <a:custGeom>
          <a:avLst/>
          <a:gdLst/>
          <a:rect l="0" t="0" r="0" b="0"/>
          <a:pathLst>
            <a:path fill="norm" stroke="1">
              <a:moveTo>
                <a:pt x="0" y="129296"/>
              </a:moveTo>
              <a:lnTo>
                <a:pt x="152688" y="129296"/>
              </a:lnTo>
              <a:lnTo>
                <a:pt x="152688" y="0"/>
              </a:lnTo>
              <a:lnTo>
                <a:pt x="305376" y="0"/>
              </a:lnTo>
            </a:path>
          </a:pathLst>
        </a:custGeom>
        <a:noFill/>
        <a:ln w="6350">
          <a:solidFill>
            <a:schemeClr val="accent3"/>
          </a:solidFill>
          <a:prstDash val="solid"/>
          <a:miter lim="800000"/>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lstStyle/>
        <a:p>
          <a:pPr lvl="0" algn="ctr" defTabSz="222250">
            <a:lnSpc>
              <a:spcPct val="90000"/>
            </a:lnSpc>
            <a:spcBef>
              <a:spcPct val="0"/>
            </a:spcBef>
            <a:spcAft>
              <a:spcPct val="35000"/>
            </a:spcAft>
          </a:pPr>
          <a:endParaRPr lang="en-US" sz="500" kern="1200"/>
        </a:p>
      </dsp:txBody>
      <dsp:txXfrm>
        <a:off x="3747935" y="261303"/>
        <a:ext cx="16581" cy="16581"/>
      </dsp:txXfrm>
    </dsp:sp>
    <dsp:sp modelId="{E0B7802F-C97D-41C3-B7D1-E6746BD80388}">
      <dsp:nvSpPr>
        <dsp:cNvPr id="0" name=""/>
        <dsp:cNvSpPr/>
      </dsp:nvSpPr>
      <dsp:spPr>
        <a:xfrm>
          <a:off x="3603538" y="334242"/>
          <a:ext cx="303688" cy="356002"/>
        </a:xfrm>
        <a:custGeom>
          <a:avLst/>
          <a:gdLst/>
          <a:rect l="0" t="0" r="0" b="0"/>
          <a:pathLst>
            <a:path fill="norm" stroke="1">
              <a:moveTo>
                <a:pt x="0" y="0"/>
              </a:moveTo>
              <a:lnTo>
                <a:pt x="151844" y="0"/>
              </a:lnTo>
              <a:lnTo>
                <a:pt x="151844" y="356002"/>
              </a:lnTo>
              <a:lnTo>
                <a:pt x="303688" y="356002"/>
              </a:lnTo>
            </a:path>
          </a:pathLst>
        </a:custGeom>
        <a:noFill/>
        <a:ln w="6350">
          <a:solidFill>
            <a:schemeClr val="accent3"/>
          </a:solidFill>
          <a:prstDash val="solid"/>
          <a:miter lim="800000"/>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lstStyle/>
        <a:p>
          <a:pPr lvl="0" algn="ctr" defTabSz="222250">
            <a:lnSpc>
              <a:spcPct val="90000"/>
            </a:lnSpc>
            <a:spcBef>
              <a:spcPct val="0"/>
            </a:spcBef>
            <a:spcAft>
              <a:spcPct val="35000"/>
            </a:spcAft>
          </a:pPr>
          <a:endParaRPr lang="en-US" sz="500" kern="1200"/>
        </a:p>
      </dsp:txBody>
      <dsp:txXfrm>
        <a:off x="3743684" y="500545"/>
        <a:ext cx="23396" cy="23396"/>
      </dsp:txXfrm>
    </dsp:sp>
    <dsp:sp modelId="{AC16D951-31EF-420A-B83F-E2827B7487C8}">
      <dsp:nvSpPr>
        <dsp:cNvPr id="0" name=""/>
        <dsp:cNvSpPr/>
      </dsp:nvSpPr>
      <dsp:spPr>
        <a:xfrm>
          <a:off x="2102562" y="334242"/>
          <a:ext cx="156533" cy="535044"/>
        </a:xfrm>
        <a:custGeom>
          <a:avLst/>
          <a:gdLst/>
          <a:rect l="0" t="0" r="0" b="0"/>
          <a:pathLst>
            <a:path fill="norm" stroke="1">
              <a:moveTo>
                <a:pt x="0" y="535044"/>
              </a:moveTo>
              <a:lnTo>
                <a:pt x="78266" y="535044"/>
              </a:lnTo>
              <a:lnTo>
                <a:pt x="78266" y="0"/>
              </a:lnTo>
              <a:lnTo>
                <a:pt x="156533" y="0"/>
              </a:lnTo>
            </a:path>
          </a:pathLst>
        </a:custGeom>
        <a:noFill/>
        <a:ln w="6350">
          <a:solidFill>
            <a:schemeClr val="accent3"/>
          </a:solidFill>
          <a:prstDash val="solid"/>
          <a:miter lim="800000"/>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lstStyle/>
        <a:p>
          <a:pPr lvl="0" algn="ctr" defTabSz="222250">
            <a:lnSpc>
              <a:spcPct val="90000"/>
            </a:lnSpc>
            <a:spcBef>
              <a:spcPct val="0"/>
            </a:spcBef>
            <a:spcAft>
              <a:spcPct val="35000"/>
            </a:spcAft>
          </a:pPr>
          <a:endParaRPr lang="en-US" sz="500" kern="1200"/>
        </a:p>
      </dsp:txBody>
      <dsp:txXfrm>
        <a:off x="2166892" y="587827"/>
        <a:ext cx="27873" cy="27873"/>
      </dsp:txXfrm>
    </dsp:sp>
    <dsp:sp modelId="{08C08379-BEF6-4B7C-963F-8B08029B913E}">
      <dsp:nvSpPr>
        <dsp:cNvPr id="0" name=""/>
        <dsp:cNvSpPr/>
      </dsp:nvSpPr>
      <dsp:spPr>
        <a:xfrm>
          <a:off x="410784" y="869287"/>
          <a:ext cx="347336" cy="363959"/>
        </a:xfrm>
        <a:custGeom>
          <a:avLst/>
          <a:gdLst/>
          <a:rect l="0" t="0" r="0" b="0"/>
          <a:pathLst>
            <a:path fill="norm" stroke="1">
              <a:moveTo>
                <a:pt x="0" y="363959"/>
              </a:moveTo>
              <a:lnTo>
                <a:pt x="173668" y="363959"/>
              </a:lnTo>
              <a:lnTo>
                <a:pt x="173668" y="0"/>
              </a:lnTo>
              <a:lnTo>
                <a:pt x="347336" y="0"/>
              </a:lnTo>
            </a:path>
          </a:pathLst>
        </a:custGeom>
        <a:noFill/>
        <a:ln w="6350">
          <a:solidFill>
            <a:schemeClr val="accent3"/>
          </a:solidFill>
          <a:prstDash val="solid"/>
          <a:miter lim="800000"/>
        </a:ln>
        <a:effectLst/>
      </dsp:spPr>
      <dsp:style>
        <a:lnRef idx="1">
          <a:schemeClr val="accent3"/>
        </a:lnRef>
        <a:fillRef idx="0">
          <a:schemeClr val="accent3"/>
        </a:fillRef>
        <a:effectRef idx="0">
          <a:schemeClr val="accent3"/>
        </a:effectRef>
        <a:fontRef idx="minor">
          <a:schemeClr val="tx1"/>
        </a:fontRef>
      </dsp:style>
      <dsp:txBody>
        <a:bodyPr spcFirstLastPara="0" vert="horz" wrap="square" lIns="12700" tIns="0" rIns="12700" bIns="0" numCol="1" spcCol="1270" anchor="ctr" anchorCtr="0"/>
        <a:lstStyle/>
        <a:p>
          <a:pPr lvl="0" algn="ctr" defTabSz="222250">
            <a:lnSpc>
              <a:spcPct val="90000"/>
            </a:lnSpc>
            <a:spcBef>
              <a:spcPct val="0"/>
            </a:spcBef>
            <a:spcAft>
              <a:spcPct val="35000"/>
            </a:spcAft>
          </a:pPr>
          <a:endParaRPr lang="en-US" sz="500" kern="1200"/>
        </a:p>
      </dsp:txBody>
      <dsp:txXfrm>
        <a:off x="571875" y="1038689"/>
        <a:ext cx="25154" cy="25154"/>
      </dsp:txXfrm>
    </dsp:sp>
    <dsp:sp modelId="{BA8CD2A3-AF9A-4621-8A05-D52163C641BF}">
      <dsp:nvSpPr>
        <dsp:cNvPr id="0" name=""/>
        <dsp:cNvSpPr/>
      </dsp:nvSpPr>
      <dsp:spPr>
        <a:xfrm>
          <a:off x="-284756" y="1028300"/>
          <a:ext cx="981192" cy="409890"/>
        </a:xfrm>
        <a:prstGeom prst="rect">
          <a:avLst/>
        </a:prstGeom>
        <a:solidFill>
          <a:srgbClr val="D9D9D9"/>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lstStyle/>
        <a:p>
          <a:pPr lvl="0" algn="ctr" defTabSz="444500">
            <a:lnSpc>
              <a:spcPct val="90000"/>
            </a:lnSpc>
            <a:spcBef>
              <a:spcPct val="0"/>
            </a:spcBef>
            <a:spcAft>
              <a:spcPct val="35000"/>
            </a:spcAft>
          </a:pPr>
          <a:r>
            <a:rPr lang="en-US" sz="1000" kern="1200">
              <a:solidFill>
                <a:sysClr val="windowText" lastClr="000000"/>
              </a:solidFill>
            </a:rPr>
            <a:t>Investments</a:t>
          </a:r>
        </a:p>
      </dsp:txBody>
      <dsp:txXfrm>
        <a:off x="-284756" y="1028300"/>
        <a:ext cx="981192" cy="409890"/>
      </dsp:txXfrm>
    </dsp:sp>
    <dsp:sp modelId="{B0CEDBE1-1B9D-4E66-BDEC-9A58120062BC}">
      <dsp:nvSpPr>
        <dsp:cNvPr id="0" name=""/>
        <dsp:cNvSpPr/>
      </dsp:nvSpPr>
      <dsp:spPr>
        <a:xfrm>
          <a:off x="758121" y="526931"/>
          <a:ext cx="1344441" cy="684710"/>
        </a:xfrm>
        <a:prstGeom prst="rect">
          <a:avLst/>
        </a:prstGeom>
        <a:solidFill>
          <a:srgbClr val="0099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lvl="0" algn="ctr" defTabSz="355600">
            <a:lnSpc>
              <a:spcPct val="90000"/>
            </a:lnSpc>
            <a:spcBef>
              <a:spcPct val="0"/>
            </a:spcBef>
            <a:spcAft>
              <a:spcPct val="35000"/>
            </a:spcAft>
          </a:pPr>
          <a:r>
            <a:rPr lang="en-US" sz="800" kern="1200">
              <a:solidFill>
                <a:sysClr val="windowText" lastClr="000000"/>
              </a:solidFill>
            </a:rPr>
            <a:t>#1 Aligned with </a:t>
          </a:r>
        </a:p>
        <a:p>
          <a:pPr lvl="0" algn="ctr" defTabSz="355600">
            <a:lnSpc>
              <a:spcPct val="90000"/>
            </a:lnSpc>
            <a:spcBef>
              <a:spcPct val="0"/>
            </a:spcBef>
            <a:spcAft>
              <a:spcPct val="35000"/>
            </a:spcAft>
          </a:pPr>
          <a:r>
            <a:rPr lang="en-US" sz="800" kern="1200">
              <a:solidFill>
                <a:sysClr val="windowText" lastClr="000000"/>
              </a:solidFill>
            </a:rPr>
            <a:t>E/S characteristics</a:t>
          </a:r>
        </a:p>
        <a:p>
          <a:pPr lvl="0" algn="ctr" defTabSz="355600">
            <a:lnSpc>
              <a:spcPct val="90000"/>
            </a:lnSpc>
            <a:spcBef>
              <a:spcPct val="0"/>
            </a:spcBef>
            <a:spcAft>
              <a:spcPct val="35000"/>
            </a:spcAft>
          </a:pPr>
          <a:endParaRPr lang="fr-FR" sz="800" kern="1200"/>
        </a:p>
      </dsp:txBody>
      <dsp:txXfrm>
        <a:off x="758121" y="526931"/>
        <a:ext cx="1344441" cy="684710"/>
      </dsp:txXfrm>
    </dsp:sp>
    <dsp:sp modelId="{8B3FEE69-F849-4735-9CE9-B575789B9E5A}">
      <dsp:nvSpPr>
        <dsp:cNvPr id="0" name=""/>
        <dsp:cNvSpPr/>
      </dsp:nvSpPr>
      <dsp:spPr>
        <a:xfrm>
          <a:off x="2259096" y="129296"/>
          <a:ext cx="1344441" cy="409890"/>
        </a:xfrm>
        <a:prstGeom prst="rect">
          <a:avLst/>
        </a:prstGeom>
        <a:solidFill>
          <a:srgbClr val="25563A"/>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lvl="0" algn="ctr" defTabSz="355600">
            <a:lnSpc>
              <a:spcPct val="90000"/>
            </a:lnSpc>
            <a:spcBef>
              <a:spcPct val="0"/>
            </a:spcBef>
            <a:spcAft>
              <a:spcPct val="35000"/>
            </a:spcAft>
          </a:pPr>
          <a:r>
            <a:rPr lang="en-US" sz="800" kern="1200">
              <a:solidFill>
                <a:schemeClr val="bg1"/>
              </a:solidFill>
            </a:rPr>
            <a:t>#1A Sustainable</a:t>
          </a:r>
        </a:p>
        <a:p>
          <a:pPr lvl="0" algn="ctr" defTabSz="355600">
            <a:lnSpc>
              <a:spcPct val="90000"/>
            </a:lnSpc>
            <a:spcBef>
              <a:spcPct val="0"/>
            </a:spcBef>
            <a:spcAft>
              <a:spcPct val="35000"/>
            </a:spcAft>
          </a:pPr>
          <a:endParaRPr lang="en-US" sz="800" kern="1200">
            <a:solidFill>
              <a:schemeClr val="bg1"/>
            </a:solidFill>
          </a:endParaRPr>
        </a:p>
      </dsp:txBody>
      <dsp:txXfrm>
        <a:off x="2259096" y="129296"/>
        <a:ext cx="1344441" cy="409890"/>
      </dsp:txXfrm>
    </dsp:sp>
    <dsp:sp modelId="{4EC2E5BF-C415-4D56-8725-BF87D3AF7199}">
      <dsp:nvSpPr>
        <dsp:cNvPr id="0" name=""/>
        <dsp:cNvSpPr/>
      </dsp:nvSpPr>
      <dsp:spPr>
        <a:xfrm>
          <a:off x="3907227" y="485299"/>
          <a:ext cx="1317552" cy="409890"/>
        </a:xfrm>
        <a:prstGeom prst="rect">
          <a:avLst/>
        </a:prstGeom>
        <a:solidFill>
          <a:srgbClr val="0080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lvl="0" algn="ctr" defTabSz="355600">
            <a:lnSpc>
              <a:spcPct val="90000"/>
            </a:lnSpc>
            <a:spcBef>
              <a:spcPct val="0"/>
            </a:spcBef>
            <a:spcAft>
              <a:spcPct val="35000"/>
            </a:spcAft>
          </a:pPr>
          <a:r>
            <a:rPr lang="en-US" sz="800" kern="1200">
              <a:solidFill>
                <a:sysClr val="windowText" lastClr="000000"/>
              </a:solidFill>
            </a:rPr>
            <a:t>Other environmental</a:t>
          </a:r>
        </a:p>
        <a:p>
          <a:pPr lvl="0" algn="ctr" defTabSz="355600">
            <a:lnSpc>
              <a:spcPct val="90000"/>
            </a:lnSpc>
            <a:spcBef>
              <a:spcPct val="0"/>
            </a:spcBef>
            <a:spcAft>
              <a:spcPct val="35000"/>
            </a:spcAft>
          </a:pPr>
          <a:endParaRPr lang="en-US" sz="800" kern="1200">
            <a:solidFill>
              <a:sysClr val="windowText" lastClr="000000"/>
            </a:solidFill>
          </a:endParaRPr>
        </a:p>
      </dsp:txBody>
      <dsp:txXfrm>
        <a:off x="3907227" y="485299"/>
        <a:ext cx="1317552" cy="409890"/>
      </dsp:txXfrm>
    </dsp:sp>
    <dsp:sp modelId="{A06CAD0B-C93A-4517-BCF9-C810025D2AD7}">
      <dsp:nvSpPr>
        <dsp:cNvPr id="0" name=""/>
        <dsp:cNvSpPr/>
      </dsp:nvSpPr>
      <dsp:spPr>
        <a:xfrm>
          <a:off x="3908914" y="0"/>
          <a:ext cx="1287491" cy="409890"/>
        </a:xfrm>
        <a:prstGeom prst="rect">
          <a:avLst/>
        </a:prstGeom>
        <a:solidFill>
          <a:srgbClr val="002F00"/>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lvl="0" algn="ctr" defTabSz="355600">
            <a:lnSpc>
              <a:spcPct val="90000"/>
            </a:lnSpc>
            <a:spcBef>
              <a:spcPct val="0"/>
            </a:spcBef>
            <a:spcAft>
              <a:spcPct val="35000"/>
            </a:spcAft>
          </a:pPr>
          <a:r>
            <a:rPr lang="en-US" sz="800" kern="1200"/>
            <a:t>Taxonomy-aligned</a:t>
          </a:r>
        </a:p>
        <a:p>
          <a:pPr lvl="0" algn="ctr" defTabSz="355600">
            <a:lnSpc>
              <a:spcPct val="90000"/>
            </a:lnSpc>
            <a:spcBef>
              <a:spcPct val="0"/>
            </a:spcBef>
            <a:spcAft>
              <a:spcPct val="35000"/>
            </a:spcAft>
          </a:pPr>
          <a:endParaRPr lang="en-US" sz="800" kern="1200"/>
        </a:p>
      </dsp:txBody>
      <dsp:txXfrm>
        <a:off x="3908914" y="0"/>
        <a:ext cx="1287491" cy="409890"/>
      </dsp:txXfrm>
    </dsp:sp>
    <dsp:sp modelId="{7D2E88BD-9A09-413B-87FC-DDB587DDE2BE}">
      <dsp:nvSpPr>
        <dsp:cNvPr id="0" name=""/>
        <dsp:cNvSpPr/>
      </dsp:nvSpPr>
      <dsp:spPr>
        <a:xfrm>
          <a:off x="3906333" y="1175452"/>
          <a:ext cx="1293850" cy="409890"/>
        </a:xfrm>
        <a:prstGeom prst="rect">
          <a:avLst/>
        </a:prstGeom>
        <a:solidFill>
          <a:schemeClr val="accent1">
            <a:hueOff val="0"/>
            <a:satOff val="0"/>
            <a:lumOff val="0"/>
            <a:alphaOff val="0"/>
          </a:schemeClr>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lvl="0" algn="ctr" defTabSz="355600">
            <a:lnSpc>
              <a:spcPct val="90000"/>
            </a:lnSpc>
            <a:spcBef>
              <a:spcPct val="0"/>
            </a:spcBef>
            <a:spcAft>
              <a:spcPct val="35000"/>
            </a:spcAft>
          </a:pPr>
          <a:r>
            <a:rPr lang="en-US" sz="800" kern="1200">
              <a:solidFill>
                <a:sysClr val="windowText" lastClr="000000"/>
              </a:solidFill>
            </a:rPr>
            <a:t>Social</a:t>
          </a:r>
        </a:p>
        <a:p>
          <a:pPr lvl="0" algn="ctr" defTabSz="355600">
            <a:lnSpc>
              <a:spcPct val="90000"/>
            </a:lnSpc>
            <a:spcBef>
              <a:spcPct val="0"/>
            </a:spcBef>
            <a:spcAft>
              <a:spcPct val="35000"/>
            </a:spcAft>
          </a:pPr>
          <a:endParaRPr lang="en-US" sz="800" kern="1200">
            <a:solidFill>
              <a:sysClr val="windowText" lastClr="000000"/>
            </a:solidFill>
          </a:endParaRPr>
        </a:p>
      </dsp:txBody>
      <dsp:txXfrm>
        <a:off x="3906333" y="1175452"/>
        <a:ext cx="1293850" cy="409890"/>
      </dsp:txXfrm>
    </dsp:sp>
    <dsp:sp modelId="{D5B95612-E81E-497A-A3D4-484945D089B8}">
      <dsp:nvSpPr>
        <dsp:cNvPr id="0" name=""/>
        <dsp:cNvSpPr/>
      </dsp:nvSpPr>
      <dsp:spPr>
        <a:xfrm>
          <a:off x="2260319" y="912007"/>
          <a:ext cx="1344441" cy="520688"/>
        </a:xfrm>
        <a:prstGeom prst="rect">
          <a:avLst/>
        </a:prstGeom>
        <a:solidFill>
          <a:srgbClr val="C5E0B4"/>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lvl="0" algn="ctr" defTabSz="355600">
            <a:lnSpc>
              <a:spcPct val="90000"/>
            </a:lnSpc>
            <a:spcBef>
              <a:spcPct val="0"/>
            </a:spcBef>
            <a:spcAft>
              <a:spcPct val="35000"/>
            </a:spcAft>
          </a:pPr>
          <a:r>
            <a:rPr lang="en-US" sz="800" kern="1200">
              <a:solidFill>
                <a:sysClr val="windowText" lastClr="000000"/>
              </a:solidFill>
            </a:rPr>
            <a:t>#1B Other E/S characteristics</a:t>
          </a:r>
        </a:p>
        <a:p>
          <a:pPr lvl="0" algn="ctr" defTabSz="355600">
            <a:lnSpc>
              <a:spcPct val="90000"/>
            </a:lnSpc>
            <a:spcBef>
              <a:spcPct val="0"/>
            </a:spcBef>
            <a:spcAft>
              <a:spcPct val="35000"/>
            </a:spcAft>
          </a:pPr>
          <a:endParaRPr lang="en-US" sz="800" kern="1200">
            <a:solidFill>
              <a:sysClr val="windowText" lastClr="000000"/>
            </a:solidFill>
          </a:endParaRPr>
        </a:p>
      </dsp:txBody>
      <dsp:txXfrm>
        <a:off x="2260319" y="912007"/>
        <a:ext cx="1344441" cy="520688"/>
      </dsp:txXfrm>
    </dsp:sp>
    <dsp:sp modelId="{3F9935D5-DE23-44E4-BAB8-AF943F39740E}">
      <dsp:nvSpPr>
        <dsp:cNvPr id="0" name=""/>
        <dsp:cNvSpPr/>
      </dsp:nvSpPr>
      <dsp:spPr>
        <a:xfrm>
          <a:off x="764776" y="1537345"/>
          <a:ext cx="1344441" cy="409890"/>
        </a:xfrm>
        <a:prstGeom prst="rect">
          <a:avLst/>
        </a:prstGeom>
        <a:solidFill>
          <a:srgbClr val="D9D9D9"/>
        </a:solidFill>
        <a:ln w="12700">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lstStyle/>
        <a:p>
          <a:pPr lvl="0" algn="ctr" defTabSz="355600">
            <a:lnSpc>
              <a:spcPct val="90000"/>
            </a:lnSpc>
            <a:spcBef>
              <a:spcPct val="0"/>
            </a:spcBef>
            <a:spcAft>
              <a:spcPct val="35000"/>
            </a:spcAft>
          </a:pPr>
          <a:r>
            <a:rPr lang="fr-FR" sz="800" kern="1200">
              <a:solidFill>
                <a:sysClr val="windowText" lastClr="000000"/>
              </a:solidFill>
            </a:rPr>
            <a:t>#2 Other</a:t>
          </a:r>
        </a:p>
        <a:p>
          <a:pPr lvl="0" algn="ctr" defTabSz="355600">
            <a:lnSpc>
              <a:spcPct val="90000"/>
            </a:lnSpc>
            <a:spcBef>
              <a:spcPct val="0"/>
            </a:spcBef>
            <a:spcAft>
              <a:spcPct val="35000"/>
            </a:spcAft>
          </a:pPr>
          <a:endParaRPr lang="fr-FR" sz="800" kern="1200">
            <a:solidFill>
              <a:sysClr val="windowText" lastClr="000000"/>
            </a:solidFill>
          </a:endParaRPr>
        </a:p>
      </dsp:txBody>
      <dsp:txXfrm>
        <a:off x="764776" y="1537345"/>
        <a:ext cx="1344441" cy="409890"/>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val="norm"/>
      <dgm:animOne val="branch"/>
      <dgm:animLvl val="lvl"/>
      <dgm:resizeHandles val="exact"/>
    </dgm:varLst>
    <dgm:choose name="Name1">
      <dgm:if name="Name2" func="var" arg="dir" op="equ" val="norm">
        <dgm:alg type="hierChild">
          <dgm:param type="chAlign" val="l"/>
          <dgm:param type="linDir" val="fromT"/>
        </dgm:alg>
      </dgm:if>
      <dgm:else name="Name3">
        <dgm:alg type="hierChild">
          <dgm:param type="chAlign" val="r"/>
          <dgm:param type="linDir" val="fromT"/>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chAlign" val="l"/>
                  <dgm:param type="linDir" val="fromT"/>
                </dgm:alg>
              </dgm:if>
              <dgm:else name="Name14">
                <dgm:alg type="hierChild">
                  <dgm:param type="chAlign" val="r"/>
                  <dgm:param type="linDir" val="fromT"/>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begPts" val="midR"/>
                        <dgm:param type="connRout" val="bend"/>
                        <dgm:param type="dim" val="1D"/>
                        <dgm:param type="endPts" val="midL"/>
                        <dgm:param type="endSty" val="noArr"/>
                      </dgm:alg>
                    </dgm:if>
                    <dgm:else name="Name18">
                      <dgm:alg type="conn">
                        <dgm:param type="begPts" val="midL"/>
                        <dgm:param type="connRout" val="bend"/>
                        <dgm:param type="dim" val="1D"/>
                        <dgm:param type="endPts" val="midR"/>
                        <dgm:param type="endSty" val="noAr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chAlign" val="l"/>
                          <dgm:param type="linDir" val="fromT"/>
                        </dgm:alg>
                      </dgm:if>
                      <dgm:else name="Name25">
                        <dgm:alg type="hierChild">
                          <dgm:param type="chAlign" val="r"/>
                          <dgm:param type="linDir" val="fromT"/>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90575-6F27-4A18-ABE0-EE518C08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1216</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Normal</vt:lpstr>
    </vt:vector>
  </TitlesOfParts>
  <Company>Arendt</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Ioanna Lamprou</dc:creator>
  <cp:lastModifiedBy>Ayadi Mohamed (AMUNDI-ITS)</cp:lastModifiedBy>
  <cp:revision>17</cp:revision>
  <cp:lastPrinted>2018-06-05T07:47:00Z</cp:lastPrinted>
  <dcterms:created xsi:type="dcterms:W3CDTF">2022-09-21T08:01:00Z</dcterms:created>
  <dcterms:modified xsi:type="dcterms:W3CDTF">2022-12-20T15:06:00Z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MSIP_Label_6ac45191-74e4-40a9-a4c5-ab5c9391e33a_ActionId">
    <vt:lpwstr>8ee34906-7ca1-4ae5-b12c-a48dda6cb1e0</vt:lpwstr>
  </property>
  <property fmtid="{D5CDD505-2E9C-101B-9397-08002B2CF9AE}" pid="4" name="MSIP_Label_6ac45191-74e4-40a9-a4c5-ab5c9391e33a_ContentBits">
    <vt:lpwstr>0</vt:lpwstr>
  </property>
  <property fmtid="{D5CDD505-2E9C-101B-9397-08002B2CF9AE}" pid="5" name="MSIP_Label_6ac45191-74e4-40a9-a4c5-ab5c9391e33a_Enabled">
    <vt:lpwstr>true</vt:lpwstr>
  </property>
  <property fmtid="{D5CDD505-2E9C-101B-9397-08002B2CF9AE}" pid="6" name="MSIP_Label_6ac45191-74e4-40a9-a4c5-ab5c9391e33a_Method">
    <vt:lpwstr>Privileged</vt:lpwstr>
  </property>
  <property fmtid="{D5CDD505-2E9C-101B-9397-08002B2CF9AE}" pid="7" name="MSIP_Label_6ac45191-74e4-40a9-a4c5-ab5c9391e33a_Name">
    <vt:lpwstr>Internal Data</vt:lpwstr>
  </property>
  <property fmtid="{D5CDD505-2E9C-101B-9397-08002B2CF9AE}" pid="8" name="MSIP_Label_6ac45191-74e4-40a9-a4c5-ab5c9391e33a_SetDate">
    <vt:lpwstr>2022-09-16T15:49:35Z</vt:lpwstr>
  </property>
  <property fmtid="{D5CDD505-2E9C-101B-9397-08002B2CF9AE}" pid="9" name="MSIP_Label_6ac45191-74e4-40a9-a4c5-ab5c9391e33a_SiteId">
    <vt:lpwstr>a5c34232-eadc-4609-bff3-dd6fcdae3fe2</vt:lpwstr>
  </property>
  <property fmtid="{D5CDD505-2E9C-101B-9397-08002B2CF9AE}" pid="10" name="_AdHocReviewCycleID">
    <vt:i4>-1035053605</vt:i4>
  </property>
  <property fmtid="{D5CDD505-2E9C-101B-9397-08002B2CF9AE}" pid="11" name="_NewReviewCycle">
    <vt:lpwstr/>
  </property>
  <property fmtid="{D5CDD505-2E9C-101B-9397-08002B2CF9AE}" pid="12" name="_EmailSubject">
    <vt:lpwstr>PCD Lux Coquilles</vt:lpwstr>
  </property>
  <property fmtid="{D5CDD505-2E9C-101B-9397-08002B2CF9AE}" pid="13" name="_AuthorEmail">
    <vt:lpwstr>fatima.benamira@amundi.com</vt:lpwstr>
  </property>
  <property fmtid="{D5CDD505-2E9C-101B-9397-08002B2CF9AE}" pid="14" name="_AuthorEmailDisplayName">
    <vt:lpwstr>Benamira Fatima (AMUNDI)</vt:lpwstr>
  </property>
</Properties>
</file>